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32971" w14:textId="21DF8373" w:rsidR="008A178A" w:rsidRPr="001476EF" w:rsidRDefault="008A178A" w:rsidP="008A178A">
      <w:pPr>
        <w:spacing w:after="0" w:line="240" w:lineRule="auto"/>
        <w:jc w:val="center"/>
        <w:rPr>
          <w:rFonts w:ascii="Arial" w:hAnsi="Arial"/>
        </w:rPr>
      </w:pPr>
      <w:r w:rsidRPr="001476EF">
        <w:rPr>
          <w:rFonts w:ascii="Arial" w:hAnsi="Arial"/>
        </w:rPr>
        <w:t>Pre-lab Assignment – Meiofauna</w:t>
      </w:r>
    </w:p>
    <w:p w14:paraId="2519A7F9" w14:textId="77777777" w:rsidR="008A178A" w:rsidRPr="001476EF" w:rsidRDefault="008A178A" w:rsidP="008A178A">
      <w:pPr>
        <w:spacing w:after="0" w:line="240" w:lineRule="auto"/>
        <w:jc w:val="center"/>
        <w:rPr>
          <w:rFonts w:ascii="Arial" w:hAnsi="Arial"/>
        </w:rPr>
      </w:pPr>
    </w:p>
    <w:p w14:paraId="644DBFB7" w14:textId="2988C0A9" w:rsidR="008A178A" w:rsidRPr="001476EF" w:rsidRDefault="008A178A" w:rsidP="008A178A">
      <w:pPr>
        <w:spacing w:after="0" w:line="240" w:lineRule="auto"/>
        <w:rPr>
          <w:rFonts w:ascii="Arial" w:hAnsi="Arial"/>
        </w:rPr>
      </w:pPr>
      <w:r w:rsidRPr="001476EF">
        <w:rPr>
          <w:rFonts w:ascii="Arial" w:hAnsi="Arial"/>
        </w:rPr>
        <w:t>Name: ____</w:t>
      </w:r>
      <w:r w:rsidR="001476EF">
        <w:rPr>
          <w:rFonts w:ascii="Arial" w:hAnsi="Arial"/>
        </w:rPr>
        <w:t>_____________________________</w:t>
      </w:r>
      <w:r w:rsidRPr="001476EF">
        <w:rPr>
          <w:rFonts w:ascii="Arial" w:hAnsi="Arial"/>
        </w:rPr>
        <w:t>_</w:t>
      </w:r>
      <w:r w:rsidRPr="001476EF">
        <w:rPr>
          <w:rFonts w:ascii="Arial" w:hAnsi="Arial"/>
        </w:rPr>
        <w:tab/>
        <w:t>850_____________________________</w:t>
      </w:r>
    </w:p>
    <w:p w14:paraId="15C0BB88" w14:textId="77777777" w:rsidR="008A178A" w:rsidRPr="001476EF" w:rsidRDefault="008A178A" w:rsidP="008A178A">
      <w:pPr>
        <w:spacing w:after="0" w:line="240" w:lineRule="auto"/>
        <w:rPr>
          <w:rFonts w:ascii="Arial" w:hAnsi="Arial"/>
        </w:rPr>
      </w:pPr>
    </w:p>
    <w:p w14:paraId="1DE7010A" w14:textId="77777777" w:rsidR="008A178A" w:rsidRPr="001476EF" w:rsidRDefault="008A178A" w:rsidP="008A178A">
      <w:pPr>
        <w:spacing w:after="0" w:line="240" w:lineRule="auto"/>
        <w:rPr>
          <w:rFonts w:ascii="Arial" w:hAnsi="Arial"/>
        </w:rPr>
      </w:pPr>
      <w:r w:rsidRPr="001476EF">
        <w:rPr>
          <w:rFonts w:ascii="Arial" w:hAnsi="Arial"/>
        </w:rPr>
        <w:t>Date: ______________________________________</w:t>
      </w:r>
    </w:p>
    <w:p w14:paraId="421F8BB0" w14:textId="77777777" w:rsidR="008A178A" w:rsidRPr="001476EF" w:rsidRDefault="008A178A" w:rsidP="008A178A">
      <w:pPr>
        <w:spacing w:after="0" w:line="240" w:lineRule="auto"/>
        <w:rPr>
          <w:rFonts w:ascii="Arial" w:hAnsi="Arial"/>
        </w:rPr>
      </w:pPr>
    </w:p>
    <w:p w14:paraId="4F3EBB79" w14:textId="77777777" w:rsidR="008A178A" w:rsidRPr="001476EF" w:rsidRDefault="008A178A" w:rsidP="008A178A">
      <w:pPr>
        <w:rPr>
          <w:rFonts w:ascii="Arial" w:hAnsi="Arial"/>
        </w:rPr>
      </w:pPr>
      <w:r w:rsidRPr="001476EF">
        <w:rPr>
          <w:rFonts w:ascii="Arial" w:hAnsi="Arial"/>
          <w:bCs/>
        </w:rPr>
        <w:t>All pre-labs need to be completed prior to coming to lab.</w:t>
      </w:r>
      <w:r w:rsidRPr="001476EF">
        <w:rPr>
          <w:rFonts w:ascii="Arial" w:hAnsi="Arial"/>
        </w:rPr>
        <w:t xml:space="preserve">  You will hand these in to your TA before class.  If you don’t complete the pre-lab assignment then you will </w:t>
      </w:r>
      <w:r w:rsidRPr="001476EF">
        <w:rPr>
          <w:rFonts w:ascii="Arial" w:hAnsi="Arial"/>
          <w:b/>
          <w:bCs/>
        </w:rPr>
        <w:t xml:space="preserve">NOT </w:t>
      </w:r>
      <w:r w:rsidRPr="001476EF">
        <w:rPr>
          <w:rFonts w:ascii="Arial" w:hAnsi="Arial"/>
        </w:rPr>
        <w:t>be allowed to participate that week's lab/field trip and you will receive a zero grade for that particular lab.  </w:t>
      </w:r>
    </w:p>
    <w:p w14:paraId="34AAF74F" w14:textId="77777777" w:rsidR="008A178A" w:rsidRPr="001476EF" w:rsidRDefault="008A178A" w:rsidP="008A178A">
      <w:pPr>
        <w:rPr>
          <w:rFonts w:ascii="Arial" w:hAnsi="Arial"/>
        </w:rPr>
      </w:pPr>
    </w:p>
    <w:p w14:paraId="1DDE7030" w14:textId="7E53EC8E" w:rsidR="008A178A" w:rsidRPr="001476EF" w:rsidRDefault="008A178A" w:rsidP="008A178A">
      <w:pPr>
        <w:rPr>
          <w:rFonts w:ascii="Arial" w:hAnsi="Arial"/>
        </w:rPr>
      </w:pPr>
      <w:r w:rsidRPr="001476EF">
        <w:rPr>
          <w:rFonts w:ascii="Arial" w:hAnsi="Arial"/>
        </w:rPr>
        <w:t xml:space="preserve">Please provide brief answers or calculations to the following questions in the space provided.  </w:t>
      </w:r>
    </w:p>
    <w:p w14:paraId="3BC8C16C" w14:textId="66A5F265" w:rsidR="003D18ED" w:rsidRDefault="001476EF" w:rsidP="003D18ED">
      <w:r>
        <w:t>1.</w:t>
      </w:r>
      <w:r w:rsidR="001E416C">
        <w:t xml:space="preserve"> What are meiofauna?</w:t>
      </w:r>
    </w:p>
    <w:p w14:paraId="19EFCBE5" w14:textId="77777777" w:rsidR="001476EF" w:rsidRDefault="001476EF" w:rsidP="003D18ED"/>
    <w:p w14:paraId="5409057C" w14:textId="69B234D1" w:rsidR="001476EF" w:rsidRDefault="001476EF" w:rsidP="003D18ED">
      <w:r>
        <w:t>2.</w:t>
      </w:r>
      <w:r w:rsidR="001E416C">
        <w:t xml:space="preserve"> What important physical factor changes as one descends past the RPD? How does the RPD affect meiofaunal diversity?</w:t>
      </w:r>
    </w:p>
    <w:p w14:paraId="79245949" w14:textId="77777777" w:rsidR="001476EF" w:rsidRDefault="001476EF" w:rsidP="003D18ED"/>
    <w:p w14:paraId="49009667" w14:textId="756909FA" w:rsidR="004D700C" w:rsidRDefault="004D700C" w:rsidP="003D18ED">
      <w:r>
        <w:t xml:space="preserve">3. </w:t>
      </w:r>
      <w:r w:rsidR="0045146C">
        <w:t>For each of these phyla, give the common name and 1-2 key features that distinguish them.</w:t>
      </w:r>
    </w:p>
    <w:p w14:paraId="59B0AF49" w14:textId="68232A0A" w:rsidR="0045146C" w:rsidRDefault="0045146C" w:rsidP="003D18ED">
      <w:r>
        <w:t>- Kinorhynca</w:t>
      </w:r>
    </w:p>
    <w:p w14:paraId="2810BF24" w14:textId="77777777" w:rsidR="0045146C" w:rsidRDefault="0045146C" w:rsidP="003D18ED"/>
    <w:p w14:paraId="25818512" w14:textId="0A96ED7C" w:rsidR="0045146C" w:rsidRDefault="0045146C" w:rsidP="003D18ED">
      <w:r>
        <w:t>- Tardigrada</w:t>
      </w:r>
    </w:p>
    <w:p w14:paraId="74DAD7D5" w14:textId="77777777" w:rsidR="0045146C" w:rsidRDefault="0045146C" w:rsidP="003D18ED"/>
    <w:p w14:paraId="5B215F20" w14:textId="2A4B277E" w:rsidR="0045146C" w:rsidRDefault="0045146C" w:rsidP="003D18ED">
      <w:r>
        <w:t>- Gastrotricha</w:t>
      </w:r>
    </w:p>
    <w:p w14:paraId="7C942206" w14:textId="77777777" w:rsidR="00EB39A6" w:rsidRDefault="00EB39A6" w:rsidP="003D18ED"/>
    <w:p w14:paraId="59EA4015" w14:textId="77777777" w:rsidR="00EB39A6" w:rsidRDefault="00EB39A6" w:rsidP="003D18ED"/>
    <w:p w14:paraId="0AA941DF" w14:textId="1A50AC21" w:rsidR="00EB39A6" w:rsidRDefault="00EB39A6" w:rsidP="003D18ED">
      <w:r>
        <w:t>4. What is the one thing you SHOULD NOT DO to the tubes containing meiofauna samples?</w:t>
      </w:r>
    </w:p>
    <w:p w14:paraId="3696D6B1" w14:textId="77777777" w:rsidR="004D700C" w:rsidRDefault="004D700C" w:rsidP="003D18ED"/>
    <w:p w14:paraId="2036D096" w14:textId="77777777" w:rsidR="0045146C" w:rsidRDefault="0045146C" w:rsidP="003D18ED"/>
    <w:p w14:paraId="4729640B" w14:textId="77777777" w:rsidR="001476EF" w:rsidRDefault="001476EF">
      <w:pPr>
        <w:rPr>
          <w:b/>
          <w:i/>
        </w:rPr>
      </w:pPr>
      <w:r>
        <w:rPr>
          <w:b/>
          <w:i/>
        </w:rPr>
        <w:br w:type="page"/>
      </w:r>
    </w:p>
    <w:p w14:paraId="23EA78FD" w14:textId="77777777" w:rsidR="00315AEB" w:rsidRDefault="00315AEB">
      <w:pPr>
        <w:rPr>
          <w:b/>
          <w:i/>
        </w:rPr>
      </w:pPr>
    </w:p>
    <w:p w14:paraId="1FB11D29" w14:textId="07723966" w:rsidR="003D18ED" w:rsidRPr="001A1184" w:rsidRDefault="003D18ED" w:rsidP="003D18ED">
      <w:pPr>
        <w:rPr>
          <w:b/>
          <w:i/>
        </w:rPr>
      </w:pPr>
      <w:r w:rsidRPr="001A1184">
        <w:rPr>
          <w:b/>
          <w:i/>
        </w:rPr>
        <w:t>Overview</w:t>
      </w:r>
      <w:r w:rsidR="007A724E">
        <w:rPr>
          <w:b/>
          <w:i/>
        </w:rPr>
        <w:t xml:space="preserve"> (modified</w:t>
      </w:r>
      <w:r w:rsidR="001A1184" w:rsidRPr="001A1184">
        <w:rPr>
          <w:b/>
          <w:i/>
        </w:rPr>
        <w:t xml:space="preserve"> from U</w:t>
      </w:r>
      <w:r w:rsidR="001F2C5C">
        <w:rPr>
          <w:b/>
          <w:i/>
        </w:rPr>
        <w:t>niversity</w:t>
      </w:r>
      <w:r w:rsidR="001A1184" w:rsidRPr="001A1184">
        <w:rPr>
          <w:b/>
          <w:i/>
        </w:rPr>
        <w:t xml:space="preserve"> of Hawaii Lab Manual)</w:t>
      </w:r>
    </w:p>
    <w:p w14:paraId="33D82299" w14:textId="1302F1CD" w:rsidR="00496151" w:rsidRDefault="003D18ED" w:rsidP="003D18ED">
      <w:r>
        <w:t xml:space="preserve"> From trips to the beach you probably appreciate the recreational opportunities provided by wave-swept sandy shores. However, below your feet, you may not realize that there is an entire world of plants and animals that lives entirely within sand grains. The environment created by the spaces between grains of sediment and sand is termed interstitial (between the spaces). Interstitial environments may be only occasionally covered by water (intertidal), or completely covered in the subtidal. This laboratory focuses on a specific category of interstitial animals referred to as meiofauna. Meiofauna are defined by size: they range between 62 – 500 microns (1000 microns [abbreviated μm]= 1 mm)</w:t>
      </w:r>
      <w:r w:rsidR="008C3D7B">
        <w:t xml:space="preserve"> </w:t>
      </w:r>
      <w:r w:rsidR="00C068CC">
        <w:t>NB: this seems like an abitrary cutoff and it is. 62 µm</w:t>
      </w:r>
      <w:r w:rsidR="0082442B">
        <w:t xml:space="preserve"> and 500 µm are industry standard mesh sizes, and meiofauna are defined by their ability to be sorted by meshes of that size</w:t>
      </w:r>
      <w:r>
        <w:t xml:space="preserve">. </w:t>
      </w:r>
      <w:r w:rsidR="008C3D7B">
        <w:t>This</w:t>
      </w:r>
      <w:r w:rsidR="00AC0699">
        <w:t xml:space="preserve"> range of sizes encompasses organisms that can move through the interstices of sediment, fitting between grains without having to move the sediment grains out of their path.</w:t>
      </w:r>
    </w:p>
    <w:p w14:paraId="7154D606" w14:textId="77777777" w:rsidR="007A724E" w:rsidRDefault="00496151" w:rsidP="003D18ED">
      <w:r>
        <w:t>Meiofauna</w:t>
      </w:r>
      <w:r w:rsidR="003D18ED">
        <w:t xml:space="preserve"> can be extremely abundant: one million animals may live in one square meter of sand. High abundance and rapid growth rates suggest that these organisms make important energetic contributions to other benthic communities, both in the form of primary production (benthic algae) and in secondary production as grazers and predators. Understanding the ecological and trophic links of the meiofauna is an important area of research in marine biology today. </w:t>
      </w:r>
    </w:p>
    <w:p w14:paraId="68B867F6" w14:textId="06EDB966" w:rsidR="003D18ED" w:rsidRDefault="003D18ED" w:rsidP="003D18ED">
      <w:r>
        <w:t>What types of animals make up the meiofauna? They are extremely diverse in terms of the major clades of animals on the tree of life. Some, such as tiny snails and clams (Phylum Mollusca) as well as segmented worms (Phylum Annelida, Class Polychaeta), may be familiar to you. Others are common to interstitial habitats, but you may have never seen them before; bizarre looking creatures such as the Kinorhyncha, Tardigrada, Gastrotricha, and Nematodes are good examples. Natural selection has downsized many of these animals for living in the interstitial environment. We know this because many of these groups have much larger representatives (species) that live in other environments. Species interactions can be complex in interstitial environments. A community of grazers feeds on</w:t>
      </w:r>
      <w:r w:rsidR="00157FC6">
        <w:t xml:space="preserve"> bacteria, detritus, and single-</w:t>
      </w:r>
      <w:r>
        <w:t xml:space="preserve">celled algae (benthic diatoms) that attach to sand grains. </w:t>
      </w:r>
      <w:r w:rsidRPr="00C87ADE">
        <w:t xml:space="preserve">These small animals can be ravenous, </w:t>
      </w:r>
      <w:r w:rsidR="00A90366" w:rsidRPr="00C87ADE">
        <w:t>feeding on the bacterial population at a rate fast enough that the bacteria are kept below their carrying capacity and continue to r</w:t>
      </w:r>
      <w:r w:rsidR="004D3CB8">
        <w:t>eproduce at an exponential rate</w:t>
      </w:r>
      <w:r w:rsidRPr="00C87ADE">
        <w:t>. The grazers are preyed upon by highly mobile organisms such as polychaetes, crustaceans and nematodes. These organisms are in turn food for larger components of the soft-sediment environment, termed macrofauna (defined as animals that can easily be seen without a microscope). For example, the sto</w:t>
      </w:r>
      <w:r>
        <w:t>machs of juvenile fish can be packed with meiofauana. These trophic links connect the interstitial community to other organisms and communities. The number and strength of these links are not well known.</w:t>
      </w:r>
    </w:p>
    <w:p w14:paraId="05793FCF" w14:textId="6E62B4AB" w:rsidR="003D18ED" w:rsidRDefault="003D18ED" w:rsidP="003D18ED">
      <w:r>
        <w:t xml:space="preserve">Ecologically, the most important physical parameters that control the abundance and diversity of macrofaunal organisms are water concentration, salinity, and oxygen. </w:t>
      </w:r>
      <w:r w:rsidR="00157FC6">
        <w:t xml:space="preserve"> </w:t>
      </w:r>
      <w:r>
        <w:t xml:space="preserve">The distribution of oxygen plays a critical role in the ecology of meiobenthic systems because it sets limits on aerobic respiration. </w:t>
      </w:r>
      <w:r w:rsidR="00157FC6">
        <w:t>On most sandy beaches or mudflats, O</w:t>
      </w:r>
      <w:r w:rsidR="00157FC6">
        <w:rPr>
          <w:vertAlign w:val="subscript"/>
        </w:rPr>
        <w:t>2</w:t>
      </w:r>
      <w:r w:rsidR="00536986">
        <w:t xml:space="preserve"> availability</w:t>
      </w:r>
      <w:r w:rsidR="00157FC6">
        <w:t xml:space="preserve"> decline</w:t>
      </w:r>
      <w:r w:rsidR="00DD5AD7">
        <w:t>s</w:t>
      </w:r>
      <w:r w:rsidR="00157FC6">
        <w:t xml:space="preserve"> slowly with depth, then </w:t>
      </w:r>
      <w:r w:rsidR="00901886">
        <w:t xml:space="preserve">abruptly </w:t>
      </w:r>
      <w:r w:rsidR="00157FC6">
        <w:t>drop</w:t>
      </w:r>
      <w:r w:rsidR="00901886">
        <w:t>s</w:t>
      </w:r>
      <w:r w:rsidR="00157FC6">
        <w:t xml:space="preserve"> to very low </w:t>
      </w:r>
      <w:r w:rsidR="00157FC6">
        <w:lastRenderedPageBreak/>
        <w:t>levels (&lt; 3 g O</w:t>
      </w:r>
      <w:r w:rsidR="00157FC6">
        <w:rPr>
          <w:vertAlign w:val="subscript"/>
        </w:rPr>
        <w:t>2</w:t>
      </w:r>
      <w:r w:rsidR="00157FC6">
        <w:t xml:space="preserve"> cm</w:t>
      </w:r>
      <w:r w:rsidR="00157FC6">
        <w:rPr>
          <w:vertAlign w:val="superscript"/>
        </w:rPr>
        <w:t>-3</w:t>
      </w:r>
      <w:r w:rsidR="00157FC6">
        <w:t xml:space="preserve"> min</w:t>
      </w:r>
      <w:r w:rsidR="00157FC6">
        <w:rPr>
          <w:vertAlign w:val="superscript"/>
        </w:rPr>
        <w:t>-1</w:t>
      </w:r>
      <w:r w:rsidR="00157FC6">
        <w:t>)</w:t>
      </w:r>
      <w:r>
        <w:t>. This zone of low oxygen is called the redox potential discontinuity (RPD). You may be familiar with this layer if you have ever dug a hole at the beach. As you go deeper you may smell the familiar “rotten eggs” of hydrogen sulfide (H</w:t>
      </w:r>
      <w:r w:rsidRPr="001026E8">
        <w:rPr>
          <w:vertAlign w:val="subscript"/>
        </w:rPr>
        <w:t>2</w:t>
      </w:r>
      <w:r>
        <w:t xml:space="preserve">S). Hydrogen sulfide is a byproduct of anaerobic metabolism. Above the RPD organisms can respire aerobically, below the RPD they cannot. The depth of the RPD is controlled by two interacting factors: water motion and grain size of sediments. High water motion and large grain size increases the depth of the RPD. Low water motion and small grain size decreases the depth of the RPD. The depth of the RPD is the main physical factor that determines the diversity of organisms in the meiofauna. High community diversity is typically found above the RPD. Below the RPD a smaller set of organisms depend on aneorobic metabolism. Within the RPD region itself there is a mixed community that consists of both aerobic and anerobic organisms. All this ecological structure can change in a matter of a few centimeters on sandy beaches! </w:t>
      </w:r>
      <w:r w:rsidR="0019408A">
        <w:t xml:space="preserve"> </w:t>
      </w:r>
      <w:r>
        <w:t xml:space="preserve">The RPD and gradients in other physical parameters are not static in time, but change with the tidal cycle as well as by season in temperate areas. The meiofauna is a relatively mobile community and will migrate vertically and horizontally following changes in physical parameters related to the tides and the season. It is also important to stress that biological factors such as competition within and between species and predation undoubtedly interact with physical factors to affect distribution patterns and diversity in this system. There is much less experimental research done on biological factors in the meiobenthos. Part of the problem stems from the technical difficulties of working with </w:t>
      </w:r>
      <w:r w:rsidRPr="003D18ED">
        <w:t>small organisms. A second technical challenge is the transient nature of shifting sands.</w:t>
      </w:r>
    </w:p>
    <w:p w14:paraId="179189D8" w14:textId="77777777" w:rsidR="003D18ED" w:rsidRPr="001A1184" w:rsidRDefault="003D18ED" w:rsidP="003D18ED">
      <w:pPr>
        <w:rPr>
          <w:b/>
          <w:i/>
        </w:rPr>
      </w:pPr>
      <w:r w:rsidRPr="001A1184">
        <w:rPr>
          <w:b/>
          <w:i/>
        </w:rPr>
        <w:t xml:space="preserve">Objectives </w:t>
      </w:r>
    </w:p>
    <w:p w14:paraId="4561EC4D" w14:textId="39654CFA" w:rsidR="003D18ED" w:rsidRDefault="004D3CB8" w:rsidP="003D18ED">
      <w:pPr>
        <w:pStyle w:val="ListParagraph"/>
        <w:numPr>
          <w:ilvl w:val="0"/>
          <w:numId w:val="1"/>
        </w:numPr>
      </w:pPr>
      <w:r>
        <w:t>B</w:t>
      </w:r>
      <w:r w:rsidR="003D18ED" w:rsidRPr="003D18ED">
        <w:t xml:space="preserve">ecome familiar with identifying major groups of meiofauna, making counts of group abundance, and estimating diversity from samples. </w:t>
      </w:r>
    </w:p>
    <w:p w14:paraId="58B30EBA" w14:textId="7ECFE525" w:rsidR="003D18ED" w:rsidRDefault="004D3CB8" w:rsidP="003D18ED">
      <w:pPr>
        <w:pStyle w:val="ListParagraph"/>
        <w:numPr>
          <w:ilvl w:val="0"/>
          <w:numId w:val="1"/>
        </w:numPr>
      </w:pPr>
      <w:r>
        <w:t>L</w:t>
      </w:r>
      <w:r w:rsidR="003D18ED" w:rsidRPr="003D18ED">
        <w:t xml:space="preserve">earn how to quantify grain sizes. </w:t>
      </w:r>
    </w:p>
    <w:p w14:paraId="6848DDB8" w14:textId="5BB9F915" w:rsidR="003D18ED" w:rsidRDefault="006B162C" w:rsidP="003D18ED">
      <w:pPr>
        <w:pStyle w:val="ListParagraph"/>
        <w:numPr>
          <w:ilvl w:val="0"/>
          <w:numId w:val="1"/>
        </w:numPr>
      </w:pPr>
      <w:r>
        <w:t>T</w:t>
      </w:r>
      <w:r w:rsidR="003D18ED" w:rsidRPr="003D18ED">
        <w:t xml:space="preserve">est two hypotheses about the distribution and diversity of meiofauna at </w:t>
      </w:r>
      <w:r w:rsidR="003D18ED">
        <w:t>Wright</w:t>
      </w:r>
      <w:r w:rsidR="0019408A">
        <w:t>s</w:t>
      </w:r>
      <w:r w:rsidR="003D18ED">
        <w:t>ville</w:t>
      </w:r>
      <w:r w:rsidR="003D18ED" w:rsidRPr="003D18ED">
        <w:t xml:space="preserve"> Beach</w:t>
      </w:r>
      <w:r w:rsidR="003D18ED">
        <w:t>.</w:t>
      </w:r>
      <w:r w:rsidR="003D18ED" w:rsidRPr="003D18ED">
        <w:t xml:space="preserve"> </w:t>
      </w:r>
    </w:p>
    <w:p w14:paraId="4E6EC81D" w14:textId="799A0D7A" w:rsidR="003D18ED" w:rsidRPr="001A1184" w:rsidRDefault="00115D30" w:rsidP="003D18ED">
      <w:pPr>
        <w:rPr>
          <w:b/>
          <w:i/>
        </w:rPr>
      </w:pPr>
      <w:r w:rsidRPr="001A1184">
        <w:rPr>
          <w:b/>
          <w:i/>
        </w:rPr>
        <w:t>Methods</w:t>
      </w:r>
      <w:r w:rsidR="006B162C">
        <w:rPr>
          <w:b/>
          <w:i/>
        </w:rPr>
        <w:t xml:space="preserve"> (</w:t>
      </w:r>
      <w:r w:rsidR="009D5F41">
        <w:rPr>
          <w:b/>
          <w:i/>
        </w:rPr>
        <w:t>you did a lot of this in the previous lab!)</w:t>
      </w:r>
    </w:p>
    <w:p w14:paraId="0AFFEC6F" w14:textId="77777777" w:rsidR="003D18ED" w:rsidRPr="001A1184" w:rsidRDefault="003D18ED" w:rsidP="003D18ED">
      <w:pPr>
        <w:rPr>
          <w:b/>
        </w:rPr>
      </w:pPr>
      <w:r w:rsidRPr="001A1184">
        <w:rPr>
          <w:b/>
        </w:rPr>
        <w:t>Collecting Meiofauna</w:t>
      </w:r>
    </w:p>
    <w:p w14:paraId="171E2762" w14:textId="2726313B" w:rsidR="003D18ED" w:rsidRDefault="003D18ED" w:rsidP="009D5F41">
      <w:pPr>
        <w:pStyle w:val="ListParagraph"/>
      </w:pPr>
      <w:r>
        <w:t>To collect each sample, a</w:t>
      </w:r>
      <w:r w:rsidR="00822BA0">
        <w:t xml:space="preserve"> 50</w:t>
      </w:r>
      <w:r w:rsidR="002777DC">
        <w:t xml:space="preserve"> </w:t>
      </w:r>
      <w:r w:rsidR="00822BA0">
        <w:t>ml</w:t>
      </w:r>
      <w:r w:rsidR="002777DC">
        <w:t xml:space="preserve"> uncapped F</w:t>
      </w:r>
      <w:r>
        <w:t xml:space="preserve">alcon tube was pressed into the sediment </w:t>
      </w:r>
      <w:r w:rsidR="00822BA0">
        <w:t xml:space="preserve">approx. 5 cm, removed </w:t>
      </w:r>
      <w:r w:rsidR="00AD7DA2">
        <w:t xml:space="preserve">and then capped. </w:t>
      </w:r>
      <w:r>
        <w:t>(12 tubes per site)</w:t>
      </w:r>
      <w:r w:rsidR="00AD7DA2">
        <w:t>.</w:t>
      </w:r>
      <w:r w:rsidR="00822BA0">
        <w:t xml:space="preserve"> 25</w:t>
      </w:r>
      <w:r w:rsidR="00DE10E0">
        <w:t xml:space="preserve"> </w:t>
      </w:r>
      <w:r w:rsidR="00074AED">
        <w:t>ml of 75 % Et</w:t>
      </w:r>
      <w:r w:rsidR="00822BA0">
        <w:t>OH with Rose Bengal was added to each tube back in the lab</w:t>
      </w:r>
      <w:r w:rsidR="00A9596A">
        <w:t>.</w:t>
      </w:r>
    </w:p>
    <w:p w14:paraId="26040B6A" w14:textId="77777777" w:rsidR="009D5F41" w:rsidRDefault="009D5F41" w:rsidP="009D5F41">
      <w:pPr>
        <w:pStyle w:val="ListParagraph"/>
      </w:pPr>
    </w:p>
    <w:p w14:paraId="0436B25C" w14:textId="6083B7DF" w:rsidR="009D5F41" w:rsidRDefault="009D5F41" w:rsidP="009D5F41">
      <w:pPr>
        <w:pStyle w:val="ListParagraph"/>
      </w:pPr>
      <w:r>
        <w:t>Sample were collected from both muddy and sandy areas on Wrightsville Beach.</w:t>
      </w:r>
    </w:p>
    <w:p w14:paraId="52B06780" w14:textId="77777777" w:rsidR="003D18ED" w:rsidRPr="009E5B88" w:rsidRDefault="003D18ED" w:rsidP="009E5B88">
      <w:pPr>
        <w:rPr>
          <w:b/>
        </w:rPr>
      </w:pPr>
      <w:r w:rsidRPr="009E5B88">
        <w:rPr>
          <w:b/>
        </w:rPr>
        <w:t>Grain Size samples</w:t>
      </w:r>
    </w:p>
    <w:p w14:paraId="547F7E5A" w14:textId="77777777" w:rsidR="003D18ED" w:rsidRDefault="003D18ED" w:rsidP="00822BA0">
      <w:pPr>
        <w:pStyle w:val="ListParagraph"/>
        <w:numPr>
          <w:ilvl w:val="0"/>
          <w:numId w:val="5"/>
        </w:numPr>
      </w:pPr>
      <w:r>
        <w:t>A shovel was used to collect several scoops of sediment at each site. A subsample of sediment approximately the size of a baseball was then placed on aluminum foil and spread out into a mound shape and placed in an oven on medium heat.</w:t>
      </w:r>
    </w:p>
    <w:p w14:paraId="3A1F2F44" w14:textId="1CF883BA" w:rsidR="003D18ED" w:rsidRDefault="003D18ED" w:rsidP="00822BA0">
      <w:pPr>
        <w:pStyle w:val="ListParagraph"/>
        <w:numPr>
          <w:ilvl w:val="0"/>
          <w:numId w:val="5"/>
        </w:numPr>
      </w:pPr>
      <w:r>
        <w:t xml:space="preserve">Samples were </w:t>
      </w:r>
      <w:r w:rsidR="00A0555F">
        <w:t>allowed to air dry for &gt; 10 days</w:t>
      </w:r>
    </w:p>
    <w:p w14:paraId="5965251C" w14:textId="77777777" w:rsidR="00824C58" w:rsidRDefault="0044046A" w:rsidP="00824C58">
      <w:pPr>
        <w:rPr>
          <w:b/>
          <w:i/>
        </w:rPr>
      </w:pPr>
      <w:r>
        <w:rPr>
          <w:b/>
          <w:i/>
        </w:rPr>
        <w:lastRenderedPageBreak/>
        <w:t xml:space="preserve">Lab </w:t>
      </w:r>
      <w:r w:rsidR="00824C58" w:rsidRPr="00824C58">
        <w:rPr>
          <w:b/>
          <w:i/>
        </w:rPr>
        <w:t>Exercise</w:t>
      </w:r>
    </w:p>
    <w:p w14:paraId="184D821C" w14:textId="0CD50561" w:rsidR="00824C58" w:rsidRDefault="00824C58" w:rsidP="00824C58">
      <w:pPr>
        <w:pStyle w:val="ListParagraph"/>
        <w:numPr>
          <w:ilvl w:val="0"/>
          <w:numId w:val="2"/>
        </w:numPr>
      </w:pPr>
      <w:r>
        <w:t xml:space="preserve">Each group should take a preserved sample from </w:t>
      </w:r>
      <w:r w:rsidR="006F78F7">
        <w:t>the muddy and sandy sites. GENT</w:t>
      </w:r>
      <w:r>
        <w:t>LY rock the tube back and forth to mix the sample.  DO NOT SHAKE AS TH</w:t>
      </w:r>
      <w:r w:rsidR="0044046A">
        <w:t>IS ACTION WILL GRIND UP THE ANI</w:t>
      </w:r>
      <w:r>
        <w:t xml:space="preserve">MALS. </w:t>
      </w:r>
      <w:r w:rsidR="007225C3">
        <w:t>First you need to isolate the meiofauna.  To do this f</w:t>
      </w:r>
      <w:r w:rsidR="00F86CAC">
        <w:t>ilter the sample thru 500 and 64</w:t>
      </w:r>
      <w:r w:rsidR="007225C3">
        <w:t xml:space="preserve"> µm sieves held together (500 on top 6</w:t>
      </w:r>
      <w:r w:rsidR="00F86CAC">
        <w:t>4</w:t>
      </w:r>
      <w:r w:rsidR="007225C3">
        <w:t xml:space="preserve"> on bottom) over a bucket using seawater in a squirt bottle.  Discard what is on the 500 µm sieve into the bucket.  </w:t>
      </w:r>
      <w:r w:rsidR="00535EED">
        <w:t xml:space="preserve">The sediment remaining on the 64 </w:t>
      </w:r>
      <w:r w:rsidR="007225C3">
        <w:t>µm seive is what now contains all of the meiofauna</w:t>
      </w:r>
      <w:r w:rsidR="00535EED">
        <w:t xml:space="preserve"> (technically meiofauna are defined as ≥ 62 µm, but 64 µm is the closest sieve size we have in lab)</w:t>
      </w:r>
      <w:r w:rsidR="007225C3">
        <w:t xml:space="preserve">.  </w:t>
      </w:r>
      <w:r>
        <w:t>Carefully transfer a SMALL amount</w:t>
      </w:r>
      <w:r w:rsidR="00914131">
        <w:t xml:space="preserve"> (~1 teaspoon) of sediment o</w:t>
      </w:r>
      <w:r>
        <w:t>nto</w:t>
      </w:r>
      <w:r w:rsidRPr="00824C58">
        <w:t xml:space="preserve"> </w:t>
      </w:r>
      <w:r w:rsidR="006F78F7">
        <w:t xml:space="preserve">one side of large watch glass. </w:t>
      </w:r>
      <w:r>
        <w:t>Using the dissect</w:t>
      </w:r>
      <w:r w:rsidR="005D6812">
        <w:t xml:space="preserve">ion scope identify and count </w:t>
      </w:r>
      <w:r w:rsidR="005D6812" w:rsidRPr="005D6812">
        <w:rPr>
          <w:b/>
        </w:rPr>
        <w:t xml:space="preserve">all </w:t>
      </w:r>
      <w:r w:rsidR="005D6812">
        <w:t>of</w:t>
      </w:r>
      <w:r>
        <w:t xml:space="preserve"> th</w:t>
      </w:r>
      <w:r w:rsidR="00F77D45">
        <w:t>e organisms present in that sub</w:t>
      </w:r>
      <w:r w:rsidR="006F78F7">
        <w:t xml:space="preserve">sample. </w:t>
      </w:r>
      <w:r>
        <w:t xml:space="preserve">As you count and process move the </w:t>
      </w:r>
      <w:r w:rsidR="0044046A">
        <w:t>sediment</w:t>
      </w:r>
      <w:r>
        <w:t xml:space="preserve"> pile from one side</w:t>
      </w:r>
      <w:r w:rsidR="00B6002E">
        <w:t xml:space="preserve"> </w:t>
      </w:r>
      <w:r>
        <w:t>of the watch glass to the other to avoid double counting. Repeat until all the sediments has been processed.  Repeat for the other site.</w:t>
      </w:r>
    </w:p>
    <w:p w14:paraId="708524F7" w14:textId="77777777" w:rsidR="0044046A" w:rsidRDefault="0044046A" w:rsidP="0044046A">
      <w:pPr>
        <w:pStyle w:val="ListParagraph"/>
      </w:pPr>
    </w:p>
    <w:p w14:paraId="29611450" w14:textId="064CD890" w:rsidR="000F751E" w:rsidRDefault="0044046A" w:rsidP="005D6812">
      <w:pPr>
        <w:pStyle w:val="ListParagraph"/>
        <w:numPr>
          <w:ilvl w:val="0"/>
          <w:numId w:val="2"/>
        </w:numPr>
      </w:pPr>
      <w:r>
        <w:t>Tare a 250 ml beaker</w:t>
      </w:r>
      <w:r w:rsidR="009A0213">
        <w:t xml:space="preserve"> on the balance</w:t>
      </w:r>
      <w:r w:rsidR="00450B30">
        <w:t>. Take approx. 150 ml</w:t>
      </w:r>
      <w:r>
        <w:t xml:space="preserve"> of dried sediment, weigh it and then place in the top sieve.  Shake the stack to move the sediments thru the sieve series. You may have to work at the coarser sizes to get the larger masses broken up.  Once you are satisfied that all the sediments have been sieved, individually transfer each size fraction to a weigh boat and record the mass.</w:t>
      </w:r>
    </w:p>
    <w:p w14:paraId="4D1CC8C7" w14:textId="77777777" w:rsidR="005D6812" w:rsidRDefault="005D6812" w:rsidP="005D6812"/>
    <w:p w14:paraId="0C55083F" w14:textId="71ED3FC9" w:rsidR="000F751E" w:rsidRDefault="000F751E" w:rsidP="007318DC">
      <w:pPr>
        <w:pStyle w:val="ListParagraph"/>
        <w:numPr>
          <w:ilvl w:val="0"/>
          <w:numId w:val="2"/>
        </w:numPr>
      </w:pPr>
      <w:r w:rsidRPr="000F751E">
        <w:t>From your abundance data for each sub-sample, you will need to estimate diversity. In this case we are interested in the diversity of the groups counte</w:t>
      </w:r>
      <w:r w:rsidR="00C10594">
        <w:t>d in the data sheet. Diversity is comprised of</w:t>
      </w:r>
      <w:r w:rsidRPr="000F751E">
        <w:t xml:space="preserve"> two elements. First there is the total number of types of groups in the set. Then there is the relative abundance of each group. The Shannon-W</w:t>
      </w:r>
      <w:r w:rsidR="006B162C">
        <w:t>iener</w:t>
      </w:r>
      <w:r w:rsidRPr="000F751E">
        <w:t xml:space="preserve"> index (</w:t>
      </w:r>
      <w:r w:rsidRPr="00A40C80">
        <w:rPr>
          <w:i/>
        </w:rPr>
        <w:t>H</w:t>
      </w:r>
      <w:r w:rsidR="00F06007">
        <w:t>’) and the anti</w:t>
      </w:r>
      <w:r w:rsidRPr="000F751E">
        <w:t xml:space="preserve">logarithm of </w:t>
      </w:r>
      <w:r w:rsidRPr="00FC2C63">
        <w:rPr>
          <w:i/>
        </w:rPr>
        <w:t>H</w:t>
      </w:r>
      <w:r w:rsidRPr="000F751E">
        <w:t>’ (e</w:t>
      </w:r>
      <w:r w:rsidR="007318DC">
        <w:t xml:space="preserve">xp </w:t>
      </w:r>
      <w:r w:rsidR="00FC2C63">
        <w:rPr>
          <w:i/>
        </w:rPr>
        <w:t>H</w:t>
      </w:r>
      <w:r w:rsidRPr="000F751E">
        <w:t>’) takes both these facets of diversity and combines them into one measure for each sub-sample, by weighting the abundance of a group as well as its presence in the sample. A rare group will make a smaller contribution than a common group to the index. The formula is as follows</w:t>
      </w:r>
    </w:p>
    <w:p w14:paraId="352A21CB" w14:textId="3FE8599C" w:rsidR="000F751E" w:rsidRPr="007318DC" w:rsidRDefault="007318DC" w:rsidP="00933C39">
      <w:pPr>
        <w:pStyle w:val="ListParagraph"/>
        <w:ind w:left="2880" w:firstLine="720"/>
        <w:rPr>
          <w:i/>
        </w:rPr>
      </w:pPr>
      <w:r>
        <w:rPr>
          <w:i/>
        </w:rPr>
        <w:t>H’</w:t>
      </w:r>
      <w:r w:rsidR="000F751E" w:rsidRPr="007318DC">
        <w:rPr>
          <w:i/>
        </w:rPr>
        <w:t xml:space="preserve"> =</w:t>
      </w:r>
      <w:r>
        <w:rPr>
          <w:rFonts w:cstheme="minorHAnsi"/>
          <w:i/>
        </w:rPr>
        <w:t>∑</w:t>
      </w:r>
      <w:r w:rsidR="00493F9B">
        <w:rPr>
          <w:i/>
        </w:rPr>
        <w:t xml:space="preserve"> p</w:t>
      </w:r>
      <w:r w:rsidR="00493F9B">
        <w:rPr>
          <w:i/>
          <w:vertAlign w:val="subscript"/>
        </w:rPr>
        <w:t>i</w:t>
      </w:r>
      <w:r w:rsidR="00493F9B">
        <w:rPr>
          <w:i/>
        </w:rPr>
        <w:t>/p</w:t>
      </w:r>
      <w:r w:rsidR="00493F9B">
        <w:rPr>
          <w:i/>
          <w:vertAlign w:val="subscript"/>
        </w:rPr>
        <w:t>T</w:t>
      </w:r>
      <w:r w:rsidR="00493F9B">
        <w:rPr>
          <w:i/>
        </w:rPr>
        <w:t>*ln(p</w:t>
      </w:r>
      <w:r w:rsidR="00493F9B">
        <w:rPr>
          <w:i/>
          <w:vertAlign w:val="subscript"/>
        </w:rPr>
        <w:t>i</w:t>
      </w:r>
      <w:r w:rsidR="00493F9B">
        <w:rPr>
          <w:i/>
        </w:rPr>
        <w:t>/p</w:t>
      </w:r>
      <w:r w:rsidR="00493F9B">
        <w:rPr>
          <w:i/>
          <w:vertAlign w:val="subscript"/>
        </w:rPr>
        <w:t>T</w:t>
      </w:r>
      <w:r w:rsidR="000F751E" w:rsidRPr="007318DC">
        <w:rPr>
          <w:i/>
        </w:rPr>
        <w:t>)</w:t>
      </w:r>
    </w:p>
    <w:p w14:paraId="2C5F3879" w14:textId="2D8959BF" w:rsidR="00933C39" w:rsidRDefault="000F751E" w:rsidP="007318DC">
      <w:pPr>
        <w:ind w:left="720"/>
      </w:pPr>
      <w:r>
        <w:t xml:space="preserve">where </w:t>
      </w:r>
      <w:r w:rsidRPr="00FC3642">
        <w:rPr>
          <w:i/>
        </w:rPr>
        <w:t>H</w:t>
      </w:r>
      <w:r>
        <w:t>’ is the Shannon-W</w:t>
      </w:r>
      <w:r w:rsidR="006B162C">
        <w:t>iener</w:t>
      </w:r>
      <w:r>
        <w:t xml:space="preserve"> Diversity index, </w:t>
      </w:r>
      <w:r w:rsidRPr="00FC3642">
        <w:rPr>
          <w:i/>
        </w:rPr>
        <w:t>p</w:t>
      </w:r>
      <w:r w:rsidR="00FC3642">
        <w:rPr>
          <w:i/>
          <w:vertAlign w:val="subscript"/>
        </w:rPr>
        <w:t>i</w:t>
      </w:r>
      <w:r>
        <w:t xml:space="preserve">  is the abundance of each </w:t>
      </w:r>
      <w:r w:rsidR="00933C39">
        <w:t xml:space="preserve">individual </w:t>
      </w:r>
      <w:r>
        <w:t xml:space="preserve">group, </w:t>
      </w:r>
      <w:r w:rsidR="00FC3642">
        <w:rPr>
          <w:i/>
        </w:rPr>
        <w:t>p</w:t>
      </w:r>
      <w:r w:rsidR="00FC3642">
        <w:rPr>
          <w:i/>
          <w:vertAlign w:val="subscript"/>
        </w:rPr>
        <w:t>T</w:t>
      </w:r>
      <w:r w:rsidR="00933C39">
        <w:t xml:space="preserve"> is the total abundance of all individuals </w:t>
      </w:r>
      <w:r w:rsidR="00806B4E">
        <w:t xml:space="preserve">and ln is the natural logarithm (log base </w:t>
      </w:r>
      <w:r w:rsidR="00806B4E">
        <w:rPr>
          <w:i/>
        </w:rPr>
        <w:t>e</w:t>
      </w:r>
      <w:r w:rsidR="00806B4E">
        <w:t>).</w:t>
      </w:r>
      <w:r>
        <w:t xml:space="preserve"> </w:t>
      </w:r>
    </w:p>
    <w:p w14:paraId="5C06379F" w14:textId="77777777" w:rsidR="007318DC" w:rsidRPr="00EC4335" w:rsidRDefault="007318DC" w:rsidP="007318DC">
      <w:pPr>
        <w:ind w:left="720"/>
        <w:rPr>
          <w:b/>
          <w:i/>
        </w:rPr>
      </w:pPr>
      <w:r w:rsidRPr="00EC4335">
        <w:rPr>
          <w:b/>
          <w:i/>
        </w:rPr>
        <w:t>Example:</w:t>
      </w:r>
    </w:p>
    <w:p w14:paraId="7590BB68" w14:textId="77777777" w:rsidR="007318DC" w:rsidRDefault="007318DC" w:rsidP="007318DC">
      <w:pPr>
        <w:ind w:firstLine="720"/>
      </w:pPr>
      <w:r>
        <w:t>Table 1.0. Counts of meiofauna groups in a sub-sample.</w:t>
      </w:r>
    </w:p>
    <w:p w14:paraId="4C726D28" w14:textId="77777777" w:rsidR="007318DC" w:rsidRPr="007318DC" w:rsidRDefault="007318DC" w:rsidP="007318DC">
      <w:pPr>
        <w:pBdr>
          <w:bottom w:val="single" w:sz="4" w:space="1" w:color="auto"/>
        </w:pBdr>
        <w:ind w:left="720"/>
      </w:pPr>
      <w:r w:rsidRPr="007318DC">
        <w:t>Number in sample</w:t>
      </w:r>
      <w:r w:rsidRPr="007318DC">
        <w:tab/>
      </w:r>
      <w:r w:rsidRPr="007318DC">
        <w:tab/>
        <w:t xml:space="preserve"> Relative abundance</w:t>
      </w:r>
    </w:p>
    <w:p w14:paraId="5CD2726B" w14:textId="77777777" w:rsidR="007318DC" w:rsidRDefault="007318DC" w:rsidP="007318DC">
      <w:pPr>
        <w:ind w:left="720"/>
      </w:pPr>
      <w:r>
        <w:t>Nematodes</w:t>
      </w:r>
      <w:r>
        <w:tab/>
        <w:t xml:space="preserve"> 8 </w:t>
      </w:r>
      <w:r>
        <w:tab/>
      </w:r>
      <w:r>
        <w:tab/>
        <w:t>8/16 = 0.50</w:t>
      </w:r>
    </w:p>
    <w:p w14:paraId="107C5960" w14:textId="77777777" w:rsidR="007318DC" w:rsidRDefault="007318DC" w:rsidP="007318DC">
      <w:pPr>
        <w:ind w:left="720"/>
      </w:pPr>
      <w:r>
        <w:t>Copepods</w:t>
      </w:r>
      <w:r>
        <w:tab/>
        <w:t xml:space="preserve"> 4 </w:t>
      </w:r>
      <w:r>
        <w:tab/>
      </w:r>
      <w:r>
        <w:tab/>
        <w:t>4/16 = 0.25</w:t>
      </w:r>
    </w:p>
    <w:p w14:paraId="0D7D7DF0" w14:textId="77777777" w:rsidR="007318DC" w:rsidRDefault="007318DC" w:rsidP="007318DC">
      <w:pPr>
        <w:ind w:left="720"/>
      </w:pPr>
      <w:r>
        <w:lastRenderedPageBreak/>
        <w:t>Polychaetes</w:t>
      </w:r>
      <w:r>
        <w:tab/>
        <w:t xml:space="preserve"> 2 </w:t>
      </w:r>
      <w:r>
        <w:tab/>
      </w:r>
      <w:r>
        <w:tab/>
        <w:t>2/16 = 0.125</w:t>
      </w:r>
    </w:p>
    <w:p w14:paraId="22550D4C" w14:textId="77777777" w:rsidR="007318DC" w:rsidRDefault="007318DC" w:rsidP="007318DC">
      <w:pPr>
        <w:ind w:left="720"/>
      </w:pPr>
      <w:r>
        <w:t>Gastrotrichs</w:t>
      </w:r>
      <w:r>
        <w:tab/>
        <w:t xml:space="preserve"> 2 </w:t>
      </w:r>
      <w:r>
        <w:tab/>
      </w:r>
      <w:r>
        <w:tab/>
        <w:t>2/16 = 0.125</w:t>
      </w:r>
    </w:p>
    <w:p w14:paraId="33EBDD6C" w14:textId="77777777" w:rsidR="007318DC" w:rsidRDefault="007318DC" w:rsidP="007318DC">
      <w:pPr>
        <w:pBdr>
          <w:top w:val="single" w:sz="4" w:space="1" w:color="auto"/>
        </w:pBdr>
        <w:ind w:left="720"/>
      </w:pPr>
      <w:r>
        <w:t xml:space="preserve">Total </w:t>
      </w:r>
      <w:r>
        <w:tab/>
      </w:r>
      <w:r>
        <w:tab/>
        <w:t xml:space="preserve">16 </w:t>
      </w:r>
      <w:r>
        <w:tab/>
      </w:r>
      <w:r>
        <w:tab/>
        <w:t>1.00</w:t>
      </w:r>
    </w:p>
    <w:p w14:paraId="7A9A56A4" w14:textId="77777777" w:rsidR="007318DC" w:rsidRDefault="007318DC" w:rsidP="007318DC">
      <w:pPr>
        <w:ind w:left="720"/>
      </w:pPr>
      <w:r>
        <w:t>Using these data, the Shannon-W</w:t>
      </w:r>
      <w:r w:rsidR="006B162C">
        <w:t>iener</w:t>
      </w:r>
      <w:r>
        <w:t xml:space="preserve"> Index is calculated as follows:</w:t>
      </w:r>
    </w:p>
    <w:p w14:paraId="0DFACCB0" w14:textId="77777777" w:rsidR="007318DC" w:rsidRDefault="007318DC" w:rsidP="007318DC">
      <w:pPr>
        <w:ind w:left="720"/>
      </w:pPr>
      <w:r w:rsidRPr="00ED7725">
        <w:rPr>
          <w:i/>
        </w:rPr>
        <w:t>H</w:t>
      </w:r>
      <w:r>
        <w:t>’ = - [0.50 ln(0.50) + 0.25 ln(0.25) + 0.125 ln(0.125) + 0.125 ln(0.125)]= 1.21</w:t>
      </w:r>
    </w:p>
    <w:p w14:paraId="698B4032" w14:textId="77777777" w:rsidR="007318DC" w:rsidRDefault="007318DC" w:rsidP="007318DC">
      <w:pPr>
        <w:ind w:left="720"/>
      </w:pPr>
      <w:r>
        <w:t>Note:  Groups that are absent from a sample are not used in the calculation. Example: if</w:t>
      </w:r>
    </w:p>
    <w:p w14:paraId="1E2AAA37" w14:textId="77777777" w:rsidR="007318DC" w:rsidRDefault="007318DC" w:rsidP="007318DC">
      <w:pPr>
        <w:ind w:left="720"/>
      </w:pPr>
      <w:r>
        <w:t xml:space="preserve">there were no Gastrotrichs in the sample, calculate </w:t>
      </w:r>
      <w:r w:rsidRPr="00ED7725">
        <w:rPr>
          <w:i/>
        </w:rPr>
        <w:t>H’</w:t>
      </w:r>
      <w:r>
        <w:t xml:space="preserve"> based on a total sample that</w:t>
      </w:r>
    </w:p>
    <w:p w14:paraId="65D0B09B" w14:textId="77777777" w:rsidR="007318DC" w:rsidRDefault="007318DC" w:rsidP="007318DC">
      <w:pPr>
        <w:ind w:left="720"/>
      </w:pPr>
      <w:r>
        <w:t>includes  Nematodes, Copepods, and Polychaetes.</w:t>
      </w:r>
    </w:p>
    <w:p w14:paraId="12142618" w14:textId="69D001FA" w:rsidR="007318DC" w:rsidRDefault="00252D7F" w:rsidP="007318DC">
      <w:pPr>
        <w:ind w:left="720"/>
      </w:pPr>
      <w:r>
        <w:t>When the Shannon-Wie</w:t>
      </w:r>
      <w:r w:rsidR="00B42FE3">
        <w:t>n</w:t>
      </w:r>
      <w:r w:rsidR="007318DC">
        <w:t>er Index is expressed as the inverse logarithm</w:t>
      </w:r>
    </w:p>
    <w:p w14:paraId="2A061CE5" w14:textId="6F7542DF" w:rsidR="007318DC" w:rsidRPr="007318DC" w:rsidRDefault="007318DC" w:rsidP="007318DC">
      <w:pPr>
        <w:ind w:left="3600" w:firstLine="720"/>
      </w:pPr>
      <w:r w:rsidRPr="00536ACF">
        <w:rPr>
          <w:i/>
        </w:rPr>
        <w:t>e</w:t>
      </w:r>
      <w:r w:rsidRPr="007318DC">
        <w:rPr>
          <w:vertAlign w:val="superscript"/>
        </w:rPr>
        <w:t>(H’)</w:t>
      </w:r>
      <w:r w:rsidR="00585BDF">
        <w:rPr>
          <w:vertAlign w:val="superscript"/>
        </w:rPr>
        <w:t xml:space="preserve">     </w:t>
      </w:r>
      <w:r>
        <w:rPr>
          <w:vertAlign w:val="superscript"/>
        </w:rPr>
        <w:t xml:space="preserve"> </w:t>
      </w:r>
      <w:r>
        <w:t>(in excel use =exp(H’)</w:t>
      </w:r>
      <w:r w:rsidR="00E87DA5">
        <w:t>)</w:t>
      </w:r>
    </w:p>
    <w:p w14:paraId="478F3D2E" w14:textId="77777777" w:rsidR="007318DC" w:rsidRDefault="007318DC" w:rsidP="007318DC">
      <w:pPr>
        <w:ind w:left="720"/>
      </w:pPr>
      <w:r>
        <w:t>it has the following useful properties:</w:t>
      </w:r>
    </w:p>
    <w:p w14:paraId="5D2AEC32" w14:textId="16542865" w:rsidR="007318DC" w:rsidRDefault="006F0F5A" w:rsidP="007318DC">
      <w:pPr>
        <w:ind w:left="720"/>
      </w:pPr>
      <w:r>
        <w:t>-It can range from 1</w:t>
      </w:r>
      <w:r w:rsidR="007318DC">
        <w:t xml:space="preserve"> to the species richness (s).</w:t>
      </w:r>
    </w:p>
    <w:p w14:paraId="52B415E0" w14:textId="77777777" w:rsidR="007318DC" w:rsidRDefault="007318DC" w:rsidP="007318DC">
      <w:pPr>
        <w:ind w:left="720"/>
      </w:pPr>
      <w:r>
        <w:t>-It is equal to species richness if all species are equally represented.</w:t>
      </w:r>
    </w:p>
    <w:p w14:paraId="61B818CD" w14:textId="77777777" w:rsidR="007318DC" w:rsidRDefault="007318DC" w:rsidP="007318DC">
      <w:pPr>
        <w:ind w:left="720"/>
      </w:pPr>
      <w:r>
        <w:t xml:space="preserve">-For our example above: </w:t>
      </w:r>
      <w:r w:rsidRPr="00536ACF">
        <w:rPr>
          <w:i/>
        </w:rPr>
        <w:t>e</w:t>
      </w:r>
      <w:r>
        <w:t xml:space="preserve"> </w:t>
      </w:r>
      <w:r w:rsidRPr="007318DC">
        <w:rPr>
          <w:vertAlign w:val="superscript"/>
        </w:rPr>
        <w:t>1.21</w:t>
      </w:r>
      <w:r>
        <w:t xml:space="preserve"> = 3.36</w:t>
      </w:r>
    </w:p>
    <w:p w14:paraId="6E9C55EC" w14:textId="77777777" w:rsidR="00824C58" w:rsidRDefault="00824C58" w:rsidP="00824C58"/>
    <w:p w14:paraId="7E993CAF" w14:textId="77777777" w:rsidR="007318DC" w:rsidRDefault="007318DC" w:rsidP="0055229D"/>
    <w:p w14:paraId="57BA12D0" w14:textId="77777777" w:rsidR="007318DC" w:rsidRDefault="007318DC" w:rsidP="0055229D"/>
    <w:p w14:paraId="39FCCEC0" w14:textId="435190E6" w:rsidR="00DD3A0E" w:rsidRDefault="00DD3A0E"/>
    <w:p w14:paraId="5FD2DEFC" w14:textId="77777777" w:rsidR="00B93383" w:rsidRDefault="00B93383">
      <w:r>
        <w:br w:type="page"/>
      </w:r>
    </w:p>
    <w:p w14:paraId="18709E8A" w14:textId="70C8BBA0" w:rsidR="0055229D" w:rsidRDefault="0055229D" w:rsidP="0055229D">
      <w:bookmarkStart w:id="0" w:name="_GoBack"/>
      <w:bookmarkEnd w:id="0"/>
      <w:r>
        <w:lastRenderedPageBreak/>
        <w:t>Assignment (complete on this page)</w:t>
      </w:r>
      <w:r w:rsidR="00DE353D">
        <w:tab/>
      </w:r>
      <w:r w:rsidR="00DE353D">
        <w:tab/>
      </w:r>
      <w:r w:rsidR="00DE353D">
        <w:tab/>
        <w:t>Name:__________________________________</w:t>
      </w:r>
    </w:p>
    <w:p w14:paraId="337ED9F8" w14:textId="77777777" w:rsidR="0055229D" w:rsidRDefault="0055229D" w:rsidP="0055229D">
      <w:pPr>
        <w:pStyle w:val="ListParagraph"/>
        <w:numPr>
          <w:ilvl w:val="0"/>
          <w:numId w:val="7"/>
        </w:numPr>
      </w:pPr>
      <w:r>
        <w:t>List 2 hypotheses that you can test using the data at hand.</w:t>
      </w:r>
    </w:p>
    <w:p w14:paraId="247CBDA9" w14:textId="77777777" w:rsidR="00766722" w:rsidRDefault="00766722" w:rsidP="00766722">
      <w:pPr>
        <w:pStyle w:val="ListParagraph"/>
        <w:ind w:left="1080"/>
      </w:pPr>
    </w:p>
    <w:p w14:paraId="6084C992" w14:textId="77777777" w:rsidR="0055229D" w:rsidRDefault="0055229D" w:rsidP="0055229D"/>
    <w:p w14:paraId="6135C353" w14:textId="77777777" w:rsidR="0055229D" w:rsidRDefault="0055229D" w:rsidP="0055229D"/>
    <w:p w14:paraId="66932676" w14:textId="02BA2D8B" w:rsidR="0055229D" w:rsidRDefault="002C3BBE" w:rsidP="00DE353D">
      <w:pPr>
        <w:pStyle w:val="ListParagraph"/>
        <w:numPr>
          <w:ilvl w:val="0"/>
          <w:numId w:val="7"/>
        </w:numPr>
      </w:pPr>
      <w:r>
        <w:t>Calculate the Shannon-</w:t>
      </w:r>
      <w:r w:rsidR="006B162C">
        <w:t>Wie</w:t>
      </w:r>
      <w:r w:rsidR="0055229D">
        <w:t>ner diversity index,  evenness and richness for both habitats and list these numbers in the table below</w:t>
      </w:r>
    </w:p>
    <w:tbl>
      <w:tblPr>
        <w:tblStyle w:val="TableGrid"/>
        <w:tblW w:w="0" w:type="auto"/>
        <w:tblInd w:w="1102" w:type="dxa"/>
        <w:tblLook w:val="04A0" w:firstRow="1" w:lastRow="0" w:firstColumn="1" w:lastColumn="0" w:noHBand="0" w:noVBand="1"/>
      </w:tblPr>
      <w:tblGrid>
        <w:gridCol w:w="2394"/>
        <w:gridCol w:w="2394"/>
        <w:gridCol w:w="2394"/>
      </w:tblGrid>
      <w:tr w:rsidR="0055229D" w14:paraId="6355DA00" w14:textId="77777777" w:rsidTr="0055229D">
        <w:tc>
          <w:tcPr>
            <w:tcW w:w="2394" w:type="dxa"/>
          </w:tcPr>
          <w:p w14:paraId="36375881" w14:textId="77777777" w:rsidR="0055229D" w:rsidRDefault="0055229D" w:rsidP="0055229D"/>
        </w:tc>
        <w:tc>
          <w:tcPr>
            <w:tcW w:w="2394" w:type="dxa"/>
          </w:tcPr>
          <w:p w14:paraId="044B2C53" w14:textId="77777777" w:rsidR="0055229D" w:rsidRDefault="0055229D" w:rsidP="0055229D">
            <w:r>
              <w:t>Sandy</w:t>
            </w:r>
          </w:p>
        </w:tc>
        <w:tc>
          <w:tcPr>
            <w:tcW w:w="2394" w:type="dxa"/>
          </w:tcPr>
          <w:p w14:paraId="52F02F5D" w14:textId="77777777" w:rsidR="0055229D" w:rsidRDefault="0055229D" w:rsidP="0055229D">
            <w:r>
              <w:t>Muddy</w:t>
            </w:r>
          </w:p>
        </w:tc>
      </w:tr>
      <w:tr w:rsidR="0055229D" w14:paraId="413A1B26" w14:textId="77777777" w:rsidTr="0055229D">
        <w:tc>
          <w:tcPr>
            <w:tcW w:w="2394" w:type="dxa"/>
          </w:tcPr>
          <w:p w14:paraId="6F991C52" w14:textId="77777777" w:rsidR="0055229D" w:rsidRDefault="0055229D" w:rsidP="0055229D">
            <w:r>
              <w:t>SW index</w:t>
            </w:r>
          </w:p>
        </w:tc>
        <w:tc>
          <w:tcPr>
            <w:tcW w:w="2394" w:type="dxa"/>
          </w:tcPr>
          <w:p w14:paraId="5FE06C53" w14:textId="77777777" w:rsidR="0055229D" w:rsidRDefault="0055229D" w:rsidP="0055229D"/>
        </w:tc>
        <w:tc>
          <w:tcPr>
            <w:tcW w:w="2394" w:type="dxa"/>
          </w:tcPr>
          <w:p w14:paraId="3FA893C7" w14:textId="77777777" w:rsidR="0055229D" w:rsidRDefault="0055229D" w:rsidP="0055229D"/>
        </w:tc>
      </w:tr>
      <w:tr w:rsidR="0055229D" w14:paraId="28EAA004" w14:textId="77777777" w:rsidTr="0055229D">
        <w:tc>
          <w:tcPr>
            <w:tcW w:w="2394" w:type="dxa"/>
          </w:tcPr>
          <w:p w14:paraId="6D30632F" w14:textId="77777777" w:rsidR="0055229D" w:rsidRDefault="0055229D" w:rsidP="0055229D">
            <w:r>
              <w:t>Evenness</w:t>
            </w:r>
          </w:p>
        </w:tc>
        <w:tc>
          <w:tcPr>
            <w:tcW w:w="2394" w:type="dxa"/>
          </w:tcPr>
          <w:p w14:paraId="7459EEDE" w14:textId="77777777" w:rsidR="0055229D" w:rsidRDefault="0055229D" w:rsidP="0055229D"/>
        </w:tc>
        <w:tc>
          <w:tcPr>
            <w:tcW w:w="2394" w:type="dxa"/>
          </w:tcPr>
          <w:p w14:paraId="392DB0F6" w14:textId="77777777" w:rsidR="0055229D" w:rsidRDefault="0055229D" w:rsidP="0055229D"/>
        </w:tc>
      </w:tr>
      <w:tr w:rsidR="0055229D" w14:paraId="6DFC608B" w14:textId="77777777" w:rsidTr="0055229D">
        <w:tc>
          <w:tcPr>
            <w:tcW w:w="2394" w:type="dxa"/>
          </w:tcPr>
          <w:p w14:paraId="4C097A57" w14:textId="77777777" w:rsidR="0055229D" w:rsidRDefault="0055229D" w:rsidP="0055229D">
            <w:r>
              <w:t>Richness</w:t>
            </w:r>
          </w:p>
        </w:tc>
        <w:tc>
          <w:tcPr>
            <w:tcW w:w="2394" w:type="dxa"/>
          </w:tcPr>
          <w:p w14:paraId="22A740FC" w14:textId="77777777" w:rsidR="0055229D" w:rsidRDefault="0055229D" w:rsidP="0055229D"/>
        </w:tc>
        <w:tc>
          <w:tcPr>
            <w:tcW w:w="2394" w:type="dxa"/>
          </w:tcPr>
          <w:p w14:paraId="0574D42C" w14:textId="77777777" w:rsidR="0055229D" w:rsidRDefault="0055229D" w:rsidP="0055229D"/>
        </w:tc>
      </w:tr>
    </w:tbl>
    <w:p w14:paraId="0610960E" w14:textId="77777777" w:rsidR="00766722" w:rsidRDefault="00766722" w:rsidP="00766722">
      <w:pPr>
        <w:pStyle w:val="ListParagraph"/>
        <w:ind w:left="1080"/>
      </w:pPr>
    </w:p>
    <w:p w14:paraId="45595DBE" w14:textId="77777777" w:rsidR="0055229D" w:rsidRDefault="006B162C" w:rsidP="00766722">
      <w:pPr>
        <w:pStyle w:val="ListParagraph"/>
        <w:numPr>
          <w:ilvl w:val="0"/>
          <w:numId w:val="7"/>
        </w:numPr>
      </w:pPr>
      <w:r>
        <w:t xml:space="preserve">List different </w:t>
      </w:r>
      <w:r w:rsidR="00766722">
        <w:t>abiotic  factors that may account for the differences seen in the table above.</w:t>
      </w:r>
    </w:p>
    <w:p w14:paraId="106E26E1" w14:textId="77777777" w:rsidR="0055229D" w:rsidRDefault="0055229D" w:rsidP="009E15EC"/>
    <w:p w14:paraId="6CD64BF2" w14:textId="77777777" w:rsidR="009E15EC" w:rsidRDefault="009E15EC" w:rsidP="009E15EC"/>
    <w:p w14:paraId="742C6451" w14:textId="7E57634A" w:rsidR="00766722" w:rsidRDefault="00766722" w:rsidP="009E15EC">
      <w:pPr>
        <w:pStyle w:val="ListParagraph"/>
        <w:numPr>
          <w:ilvl w:val="0"/>
          <w:numId w:val="7"/>
        </w:numPr>
      </w:pPr>
      <w:r>
        <w:t>Explain if</w:t>
      </w:r>
      <w:r w:rsidR="0055229D">
        <w:t xml:space="preserve"> your data support or </w:t>
      </w:r>
      <w:r w:rsidR="00B4782F">
        <w:t xml:space="preserve">refute your original hypotheses. Provide </w:t>
      </w:r>
      <w:r w:rsidR="00EE5C89">
        <w:t>the statistics that support your conclusion.</w:t>
      </w:r>
    </w:p>
    <w:p w14:paraId="66117CB9" w14:textId="77777777" w:rsidR="00766722" w:rsidRDefault="00766722" w:rsidP="00766722">
      <w:pPr>
        <w:pStyle w:val="ListParagraph"/>
        <w:ind w:left="1080"/>
      </w:pPr>
    </w:p>
    <w:p w14:paraId="47EAA471" w14:textId="77777777" w:rsidR="009E15EC" w:rsidRDefault="009E15EC" w:rsidP="00766722">
      <w:pPr>
        <w:pStyle w:val="ListParagraph"/>
        <w:ind w:left="1080"/>
      </w:pPr>
    </w:p>
    <w:p w14:paraId="0FB357B9" w14:textId="77777777" w:rsidR="009E15EC" w:rsidRDefault="009E15EC" w:rsidP="00766722">
      <w:pPr>
        <w:pStyle w:val="ListParagraph"/>
        <w:ind w:left="1080"/>
      </w:pPr>
    </w:p>
    <w:p w14:paraId="6E39116C" w14:textId="77777777" w:rsidR="009E15EC" w:rsidRDefault="009E15EC" w:rsidP="00766722">
      <w:pPr>
        <w:pStyle w:val="ListParagraph"/>
        <w:ind w:left="1080"/>
      </w:pPr>
    </w:p>
    <w:p w14:paraId="1E5E4570" w14:textId="77777777" w:rsidR="009E15EC" w:rsidRDefault="009E15EC" w:rsidP="00766722">
      <w:pPr>
        <w:pStyle w:val="ListParagraph"/>
        <w:ind w:left="1080"/>
      </w:pPr>
    </w:p>
    <w:p w14:paraId="219A8E11" w14:textId="77777777" w:rsidR="009E15EC" w:rsidRDefault="009E15EC" w:rsidP="00766722">
      <w:pPr>
        <w:pStyle w:val="ListParagraph"/>
        <w:ind w:left="1080"/>
      </w:pPr>
    </w:p>
    <w:p w14:paraId="4148D461" w14:textId="77777777" w:rsidR="009E15EC" w:rsidRDefault="009E15EC" w:rsidP="00766722">
      <w:pPr>
        <w:pStyle w:val="ListParagraph"/>
        <w:ind w:left="1080"/>
      </w:pPr>
    </w:p>
    <w:p w14:paraId="22085B8A" w14:textId="13B869D8" w:rsidR="003D18ED" w:rsidRDefault="00DE353D" w:rsidP="009E15EC">
      <w:pPr>
        <w:pStyle w:val="ListParagraph"/>
        <w:numPr>
          <w:ilvl w:val="0"/>
          <w:numId w:val="7"/>
        </w:numPr>
      </w:pPr>
      <w:r>
        <w:t>Present correctly</w:t>
      </w:r>
      <w:r w:rsidR="00766722">
        <w:t xml:space="preserve"> </w:t>
      </w:r>
      <w:r>
        <w:t>labeled bar</w:t>
      </w:r>
      <w:r w:rsidR="00766722">
        <w:t xml:space="preserve"> graph</w:t>
      </w:r>
      <w:r w:rsidR="002D0543">
        <w:t>s</w:t>
      </w:r>
      <w:r w:rsidR="00766722">
        <w:t xml:space="preserve"> showing percentage mass of </w:t>
      </w:r>
      <w:r>
        <w:t>various</w:t>
      </w:r>
      <w:r w:rsidR="00766722">
        <w:t xml:space="preserve"> grain size fractions </w:t>
      </w:r>
      <w:r w:rsidR="002D0543">
        <w:t xml:space="preserve">in both sand and mud </w:t>
      </w:r>
      <w:r w:rsidR="00766722">
        <w:t>(</w:t>
      </w:r>
      <w:r w:rsidR="009E15EC">
        <w:t>example shown</w:t>
      </w:r>
      <w:r w:rsidR="002567DB">
        <w:t xml:space="preserve"> below</w:t>
      </w:r>
      <w:r w:rsidR="00766722">
        <w:t>).</w:t>
      </w:r>
    </w:p>
    <w:p w14:paraId="35AC8FDB" w14:textId="77777777" w:rsidR="009E15EC" w:rsidRDefault="003D18ED" w:rsidP="003D18ED">
      <w:pPr>
        <w:pStyle w:val="ListParagraph"/>
        <w:sectPr w:rsidR="009E15EC">
          <w:headerReference w:type="default" r:id="rId8"/>
          <w:pgSz w:w="12240" w:h="15840"/>
          <w:pgMar w:top="1440" w:right="1440" w:bottom="1440" w:left="1440" w:header="720" w:footer="720" w:gutter="0"/>
          <w:cols w:space="720"/>
          <w:docGrid w:linePitch="360"/>
        </w:sectPr>
      </w:pPr>
      <w:r w:rsidRPr="003D18ED">
        <w:t xml:space="preserve"> </w:t>
      </w:r>
    </w:p>
    <w:p w14:paraId="38178C6A" w14:textId="22EEACA9" w:rsidR="003D18ED" w:rsidRDefault="003D18ED" w:rsidP="003D18ED">
      <w:pPr>
        <w:pStyle w:val="ListParagraph"/>
      </w:pPr>
    </w:p>
    <w:p w14:paraId="7A729FC3" w14:textId="3D89A5CC" w:rsidR="009E15EC" w:rsidRDefault="009E15EC" w:rsidP="003D18ED">
      <w:pPr>
        <w:pStyle w:val="ListParagraph"/>
        <w:sectPr w:rsidR="009E15EC" w:rsidSect="009E15EC">
          <w:type w:val="continuous"/>
          <w:pgSz w:w="12240" w:h="15840"/>
          <w:pgMar w:top="1440" w:right="1440" w:bottom="1440" w:left="1440" w:header="720" w:footer="720" w:gutter="0"/>
          <w:cols w:num="2" w:space="720"/>
          <w:docGrid w:linePitch="360"/>
        </w:sectPr>
      </w:pPr>
    </w:p>
    <w:p w14:paraId="1A67F334" w14:textId="37753541" w:rsidR="009E15EC" w:rsidRPr="003D18ED" w:rsidRDefault="00910AB3" w:rsidP="002D0543">
      <w:r>
        <w:rPr>
          <w:noProof/>
        </w:rPr>
        <w:lastRenderedPageBreak/>
        <w:drawing>
          <wp:inline distT="0" distB="0" distL="0" distR="0" wp14:anchorId="2688DD79" wp14:editId="438A79D4">
            <wp:extent cx="5486400" cy="3121660"/>
            <wp:effectExtent l="0" t="0" r="25400" b="279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9E15EC" w:rsidRPr="003D18ED" w:rsidSect="009E15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C50A2" w14:textId="77777777" w:rsidR="00B93383" w:rsidRDefault="00B93383" w:rsidP="008A178A">
      <w:pPr>
        <w:spacing w:after="0" w:line="240" w:lineRule="auto"/>
      </w:pPr>
      <w:r>
        <w:separator/>
      </w:r>
    </w:p>
  </w:endnote>
  <w:endnote w:type="continuationSeparator" w:id="0">
    <w:p w14:paraId="7F728BF5" w14:textId="77777777" w:rsidR="00B93383" w:rsidRDefault="00B93383" w:rsidP="008A1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832D1" w14:textId="77777777" w:rsidR="00B93383" w:rsidRDefault="00B93383" w:rsidP="008A178A">
      <w:pPr>
        <w:spacing w:after="0" w:line="240" w:lineRule="auto"/>
      </w:pPr>
      <w:r>
        <w:separator/>
      </w:r>
    </w:p>
  </w:footnote>
  <w:footnote w:type="continuationSeparator" w:id="0">
    <w:p w14:paraId="66843ECC" w14:textId="77777777" w:rsidR="00B93383" w:rsidRDefault="00B93383" w:rsidP="008A178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5D392" w14:textId="26007174" w:rsidR="00B93383" w:rsidRDefault="00B93383">
    <w:pPr>
      <w:pStyle w:val="Header"/>
    </w:pPr>
    <w:r>
      <w:t>BIO 362 Lab</w:t>
    </w:r>
    <w:r>
      <w:tab/>
      <w:t>Meiofauna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76BA6"/>
    <w:multiLevelType w:val="hybridMultilevel"/>
    <w:tmpl w:val="9CE45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375211"/>
    <w:multiLevelType w:val="hybridMultilevel"/>
    <w:tmpl w:val="412CBD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7C1641"/>
    <w:multiLevelType w:val="hybridMultilevel"/>
    <w:tmpl w:val="53C2D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E02E8D"/>
    <w:multiLevelType w:val="hybridMultilevel"/>
    <w:tmpl w:val="F3B2A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EE58B4"/>
    <w:multiLevelType w:val="hybridMultilevel"/>
    <w:tmpl w:val="9CE45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E453A8"/>
    <w:multiLevelType w:val="hybridMultilevel"/>
    <w:tmpl w:val="A80C7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330DA8"/>
    <w:multiLevelType w:val="hybridMultilevel"/>
    <w:tmpl w:val="2F2AC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8ED"/>
    <w:rsid w:val="00074AED"/>
    <w:rsid w:val="000929C9"/>
    <w:rsid w:val="000F751E"/>
    <w:rsid w:val="001026E8"/>
    <w:rsid w:val="001128CE"/>
    <w:rsid w:val="00115D30"/>
    <w:rsid w:val="001476EF"/>
    <w:rsid w:val="00157FC6"/>
    <w:rsid w:val="0019408A"/>
    <w:rsid w:val="001A1184"/>
    <w:rsid w:val="001E416C"/>
    <w:rsid w:val="001F2C5C"/>
    <w:rsid w:val="00213A80"/>
    <w:rsid w:val="00242EFF"/>
    <w:rsid w:val="00246102"/>
    <w:rsid w:val="00252D7F"/>
    <w:rsid w:val="002567DB"/>
    <w:rsid w:val="002777DC"/>
    <w:rsid w:val="002A1CE6"/>
    <w:rsid w:val="002C3BBE"/>
    <w:rsid w:val="002D0543"/>
    <w:rsid w:val="002D415A"/>
    <w:rsid w:val="00315AEB"/>
    <w:rsid w:val="003C5076"/>
    <w:rsid w:val="003D18ED"/>
    <w:rsid w:val="00425113"/>
    <w:rsid w:val="0044046A"/>
    <w:rsid w:val="00450B30"/>
    <w:rsid w:val="0045146C"/>
    <w:rsid w:val="00487A76"/>
    <w:rsid w:val="00493F9B"/>
    <w:rsid w:val="00496151"/>
    <w:rsid w:val="004D3CB8"/>
    <w:rsid w:val="004D700C"/>
    <w:rsid w:val="00511F28"/>
    <w:rsid w:val="00535EED"/>
    <w:rsid w:val="00536986"/>
    <w:rsid w:val="00536ACF"/>
    <w:rsid w:val="0055229D"/>
    <w:rsid w:val="00585BDF"/>
    <w:rsid w:val="005D6812"/>
    <w:rsid w:val="00660B88"/>
    <w:rsid w:val="006B162C"/>
    <w:rsid w:val="006E4C7A"/>
    <w:rsid w:val="006F0F5A"/>
    <w:rsid w:val="006F78F7"/>
    <w:rsid w:val="007225C3"/>
    <w:rsid w:val="007318DC"/>
    <w:rsid w:val="00766722"/>
    <w:rsid w:val="007A2A4A"/>
    <w:rsid w:val="007A724E"/>
    <w:rsid w:val="00806B4E"/>
    <w:rsid w:val="00822BA0"/>
    <w:rsid w:val="0082442B"/>
    <w:rsid w:val="00824C58"/>
    <w:rsid w:val="00867416"/>
    <w:rsid w:val="008A178A"/>
    <w:rsid w:val="008C1A60"/>
    <w:rsid w:val="008C3D7B"/>
    <w:rsid w:val="00901886"/>
    <w:rsid w:val="009049CD"/>
    <w:rsid w:val="00904F37"/>
    <w:rsid w:val="00910AB3"/>
    <w:rsid w:val="00914131"/>
    <w:rsid w:val="00933C39"/>
    <w:rsid w:val="009A0213"/>
    <w:rsid w:val="009B2375"/>
    <w:rsid w:val="009D5F41"/>
    <w:rsid w:val="009E15EC"/>
    <w:rsid w:val="009E5B88"/>
    <w:rsid w:val="00A0555F"/>
    <w:rsid w:val="00A40C80"/>
    <w:rsid w:val="00A54EDF"/>
    <w:rsid w:val="00A90366"/>
    <w:rsid w:val="00A9596A"/>
    <w:rsid w:val="00AC0699"/>
    <w:rsid w:val="00AD7DA2"/>
    <w:rsid w:val="00B02C41"/>
    <w:rsid w:val="00B42FE3"/>
    <w:rsid w:val="00B4782F"/>
    <w:rsid w:val="00B6002E"/>
    <w:rsid w:val="00B93383"/>
    <w:rsid w:val="00BD6D92"/>
    <w:rsid w:val="00BE71C2"/>
    <w:rsid w:val="00C068CC"/>
    <w:rsid w:val="00C10594"/>
    <w:rsid w:val="00C87ADE"/>
    <w:rsid w:val="00DD3A0E"/>
    <w:rsid w:val="00DD5AD7"/>
    <w:rsid w:val="00DE10E0"/>
    <w:rsid w:val="00DE353D"/>
    <w:rsid w:val="00DE7832"/>
    <w:rsid w:val="00DF416A"/>
    <w:rsid w:val="00E24F3E"/>
    <w:rsid w:val="00E509FE"/>
    <w:rsid w:val="00E87DA5"/>
    <w:rsid w:val="00EB39A6"/>
    <w:rsid w:val="00EB4A79"/>
    <w:rsid w:val="00EC4335"/>
    <w:rsid w:val="00ED7725"/>
    <w:rsid w:val="00EE5C89"/>
    <w:rsid w:val="00F06007"/>
    <w:rsid w:val="00F609AC"/>
    <w:rsid w:val="00F77D45"/>
    <w:rsid w:val="00F86CAC"/>
    <w:rsid w:val="00FC2C63"/>
    <w:rsid w:val="00FC3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50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8ED"/>
    <w:pPr>
      <w:ind w:left="720"/>
      <w:contextualSpacing/>
    </w:pPr>
  </w:style>
  <w:style w:type="table" w:styleId="TableGrid">
    <w:name w:val="Table Grid"/>
    <w:basedOn w:val="TableNormal"/>
    <w:uiPriority w:val="59"/>
    <w:rsid w:val="005522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1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5EC"/>
    <w:rPr>
      <w:rFonts w:ascii="Tahoma" w:hAnsi="Tahoma" w:cs="Tahoma"/>
      <w:sz w:val="16"/>
      <w:szCs w:val="16"/>
    </w:rPr>
  </w:style>
  <w:style w:type="character" w:styleId="CommentReference">
    <w:name w:val="annotation reference"/>
    <w:basedOn w:val="DefaultParagraphFont"/>
    <w:uiPriority w:val="99"/>
    <w:semiHidden/>
    <w:unhideWhenUsed/>
    <w:rsid w:val="007A2A4A"/>
    <w:rPr>
      <w:sz w:val="18"/>
      <w:szCs w:val="18"/>
    </w:rPr>
  </w:style>
  <w:style w:type="paragraph" w:styleId="CommentText">
    <w:name w:val="annotation text"/>
    <w:basedOn w:val="Normal"/>
    <w:link w:val="CommentTextChar"/>
    <w:uiPriority w:val="99"/>
    <w:semiHidden/>
    <w:unhideWhenUsed/>
    <w:rsid w:val="007A2A4A"/>
    <w:pPr>
      <w:spacing w:line="240" w:lineRule="auto"/>
    </w:pPr>
    <w:rPr>
      <w:sz w:val="24"/>
      <w:szCs w:val="24"/>
    </w:rPr>
  </w:style>
  <w:style w:type="character" w:customStyle="1" w:styleId="CommentTextChar">
    <w:name w:val="Comment Text Char"/>
    <w:basedOn w:val="DefaultParagraphFont"/>
    <w:link w:val="CommentText"/>
    <w:uiPriority w:val="99"/>
    <w:semiHidden/>
    <w:rsid w:val="007A2A4A"/>
    <w:rPr>
      <w:sz w:val="24"/>
      <w:szCs w:val="24"/>
    </w:rPr>
  </w:style>
  <w:style w:type="paragraph" w:styleId="CommentSubject">
    <w:name w:val="annotation subject"/>
    <w:basedOn w:val="CommentText"/>
    <w:next w:val="CommentText"/>
    <w:link w:val="CommentSubjectChar"/>
    <w:uiPriority w:val="99"/>
    <w:semiHidden/>
    <w:unhideWhenUsed/>
    <w:rsid w:val="007A2A4A"/>
    <w:rPr>
      <w:b/>
      <w:bCs/>
      <w:sz w:val="20"/>
      <w:szCs w:val="20"/>
    </w:rPr>
  </w:style>
  <w:style w:type="character" w:customStyle="1" w:styleId="CommentSubjectChar">
    <w:name w:val="Comment Subject Char"/>
    <w:basedOn w:val="CommentTextChar"/>
    <w:link w:val="CommentSubject"/>
    <w:uiPriority w:val="99"/>
    <w:semiHidden/>
    <w:rsid w:val="007A2A4A"/>
    <w:rPr>
      <w:b/>
      <w:bCs/>
      <w:sz w:val="20"/>
      <w:szCs w:val="20"/>
    </w:rPr>
  </w:style>
  <w:style w:type="paragraph" w:styleId="Header">
    <w:name w:val="header"/>
    <w:basedOn w:val="Normal"/>
    <w:link w:val="HeaderChar"/>
    <w:uiPriority w:val="99"/>
    <w:unhideWhenUsed/>
    <w:rsid w:val="008A178A"/>
    <w:pPr>
      <w:tabs>
        <w:tab w:val="center" w:pos="4320"/>
        <w:tab w:val="right" w:pos="8640"/>
      </w:tabs>
      <w:spacing w:after="0" w:line="240" w:lineRule="auto"/>
    </w:pPr>
  </w:style>
  <w:style w:type="character" w:customStyle="1" w:styleId="HeaderChar">
    <w:name w:val="Header Char"/>
    <w:basedOn w:val="DefaultParagraphFont"/>
    <w:link w:val="Header"/>
    <w:uiPriority w:val="99"/>
    <w:rsid w:val="008A178A"/>
  </w:style>
  <w:style w:type="paragraph" w:styleId="Footer">
    <w:name w:val="footer"/>
    <w:basedOn w:val="Normal"/>
    <w:link w:val="FooterChar"/>
    <w:uiPriority w:val="99"/>
    <w:unhideWhenUsed/>
    <w:rsid w:val="008A178A"/>
    <w:pPr>
      <w:tabs>
        <w:tab w:val="center" w:pos="4320"/>
        <w:tab w:val="right" w:pos="8640"/>
      </w:tabs>
      <w:spacing w:after="0" w:line="240" w:lineRule="auto"/>
    </w:pPr>
  </w:style>
  <w:style w:type="character" w:customStyle="1" w:styleId="FooterChar">
    <w:name w:val="Footer Char"/>
    <w:basedOn w:val="DefaultParagraphFont"/>
    <w:link w:val="Footer"/>
    <w:uiPriority w:val="99"/>
    <w:rsid w:val="008A178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8ED"/>
    <w:pPr>
      <w:ind w:left="720"/>
      <w:contextualSpacing/>
    </w:pPr>
  </w:style>
  <w:style w:type="table" w:styleId="TableGrid">
    <w:name w:val="Table Grid"/>
    <w:basedOn w:val="TableNormal"/>
    <w:uiPriority w:val="59"/>
    <w:rsid w:val="005522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1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5EC"/>
    <w:rPr>
      <w:rFonts w:ascii="Tahoma" w:hAnsi="Tahoma" w:cs="Tahoma"/>
      <w:sz w:val="16"/>
      <w:szCs w:val="16"/>
    </w:rPr>
  </w:style>
  <w:style w:type="character" w:styleId="CommentReference">
    <w:name w:val="annotation reference"/>
    <w:basedOn w:val="DefaultParagraphFont"/>
    <w:uiPriority w:val="99"/>
    <w:semiHidden/>
    <w:unhideWhenUsed/>
    <w:rsid w:val="007A2A4A"/>
    <w:rPr>
      <w:sz w:val="18"/>
      <w:szCs w:val="18"/>
    </w:rPr>
  </w:style>
  <w:style w:type="paragraph" w:styleId="CommentText">
    <w:name w:val="annotation text"/>
    <w:basedOn w:val="Normal"/>
    <w:link w:val="CommentTextChar"/>
    <w:uiPriority w:val="99"/>
    <w:semiHidden/>
    <w:unhideWhenUsed/>
    <w:rsid w:val="007A2A4A"/>
    <w:pPr>
      <w:spacing w:line="240" w:lineRule="auto"/>
    </w:pPr>
    <w:rPr>
      <w:sz w:val="24"/>
      <w:szCs w:val="24"/>
    </w:rPr>
  </w:style>
  <w:style w:type="character" w:customStyle="1" w:styleId="CommentTextChar">
    <w:name w:val="Comment Text Char"/>
    <w:basedOn w:val="DefaultParagraphFont"/>
    <w:link w:val="CommentText"/>
    <w:uiPriority w:val="99"/>
    <w:semiHidden/>
    <w:rsid w:val="007A2A4A"/>
    <w:rPr>
      <w:sz w:val="24"/>
      <w:szCs w:val="24"/>
    </w:rPr>
  </w:style>
  <w:style w:type="paragraph" w:styleId="CommentSubject">
    <w:name w:val="annotation subject"/>
    <w:basedOn w:val="CommentText"/>
    <w:next w:val="CommentText"/>
    <w:link w:val="CommentSubjectChar"/>
    <w:uiPriority w:val="99"/>
    <w:semiHidden/>
    <w:unhideWhenUsed/>
    <w:rsid w:val="007A2A4A"/>
    <w:rPr>
      <w:b/>
      <w:bCs/>
      <w:sz w:val="20"/>
      <w:szCs w:val="20"/>
    </w:rPr>
  </w:style>
  <w:style w:type="character" w:customStyle="1" w:styleId="CommentSubjectChar">
    <w:name w:val="Comment Subject Char"/>
    <w:basedOn w:val="CommentTextChar"/>
    <w:link w:val="CommentSubject"/>
    <w:uiPriority w:val="99"/>
    <w:semiHidden/>
    <w:rsid w:val="007A2A4A"/>
    <w:rPr>
      <w:b/>
      <w:bCs/>
      <w:sz w:val="20"/>
      <w:szCs w:val="20"/>
    </w:rPr>
  </w:style>
  <w:style w:type="paragraph" w:styleId="Header">
    <w:name w:val="header"/>
    <w:basedOn w:val="Normal"/>
    <w:link w:val="HeaderChar"/>
    <w:uiPriority w:val="99"/>
    <w:unhideWhenUsed/>
    <w:rsid w:val="008A178A"/>
    <w:pPr>
      <w:tabs>
        <w:tab w:val="center" w:pos="4320"/>
        <w:tab w:val="right" w:pos="8640"/>
      </w:tabs>
      <w:spacing w:after="0" w:line="240" w:lineRule="auto"/>
    </w:pPr>
  </w:style>
  <w:style w:type="character" w:customStyle="1" w:styleId="HeaderChar">
    <w:name w:val="Header Char"/>
    <w:basedOn w:val="DefaultParagraphFont"/>
    <w:link w:val="Header"/>
    <w:uiPriority w:val="99"/>
    <w:rsid w:val="008A178A"/>
  </w:style>
  <w:style w:type="paragraph" w:styleId="Footer">
    <w:name w:val="footer"/>
    <w:basedOn w:val="Normal"/>
    <w:link w:val="FooterChar"/>
    <w:uiPriority w:val="99"/>
    <w:unhideWhenUsed/>
    <w:rsid w:val="008A178A"/>
    <w:pPr>
      <w:tabs>
        <w:tab w:val="center" w:pos="4320"/>
        <w:tab w:val="right" w:pos="8640"/>
      </w:tabs>
      <w:spacing w:after="0" w:line="240" w:lineRule="auto"/>
    </w:pPr>
  </w:style>
  <w:style w:type="character" w:customStyle="1" w:styleId="FooterChar">
    <w:name w:val="Footer Char"/>
    <w:basedOn w:val="DefaultParagraphFont"/>
    <w:link w:val="Footer"/>
    <w:uiPriority w:val="99"/>
    <w:rsid w:val="008A1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chart" Target="charts/chart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Work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Sheet1!$E$5</c:f>
              <c:strCache>
                <c:ptCount val="1"/>
                <c:pt idx="0">
                  <c:v>Proportion of sample mass</c:v>
                </c:pt>
              </c:strCache>
            </c:strRef>
          </c:tx>
          <c:spPr>
            <a:solidFill>
              <a:schemeClr val="bg1">
                <a:lumMod val="50000"/>
              </a:schemeClr>
            </a:solidFill>
          </c:spPr>
          <c:invertIfNegative val="0"/>
          <c:cat>
            <c:strRef>
              <c:f>Sheet1!$D$6:$D$10</c:f>
              <c:strCache>
                <c:ptCount val="5"/>
                <c:pt idx="0">
                  <c:v>&gt; 2000 µm</c:v>
                </c:pt>
                <c:pt idx="1">
                  <c:v>&gt; 1000 µm</c:v>
                </c:pt>
                <c:pt idx="2">
                  <c:v>&gt; 500 µm</c:v>
                </c:pt>
                <c:pt idx="3">
                  <c:v>&gt; 62 µm</c:v>
                </c:pt>
                <c:pt idx="4">
                  <c:v>&lt; 62 µm</c:v>
                </c:pt>
              </c:strCache>
            </c:strRef>
          </c:cat>
          <c:val>
            <c:numRef>
              <c:f>Sheet1!$E$6:$E$10</c:f>
              <c:numCache>
                <c:formatCode>General</c:formatCode>
                <c:ptCount val="5"/>
                <c:pt idx="0">
                  <c:v>0.1</c:v>
                </c:pt>
                <c:pt idx="1">
                  <c:v>0.15</c:v>
                </c:pt>
                <c:pt idx="2">
                  <c:v>0.2</c:v>
                </c:pt>
                <c:pt idx="3">
                  <c:v>0.45</c:v>
                </c:pt>
                <c:pt idx="4">
                  <c:v>0.1</c:v>
                </c:pt>
              </c:numCache>
            </c:numRef>
          </c:val>
        </c:ser>
        <c:dLbls>
          <c:showLegendKey val="0"/>
          <c:showVal val="0"/>
          <c:showCatName val="0"/>
          <c:showSerName val="0"/>
          <c:showPercent val="0"/>
          <c:showBubbleSize val="0"/>
        </c:dLbls>
        <c:gapWidth val="150"/>
        <c:axId val="2072119800"/>
        <c:axId val="2079174184"/>
      </c:barChart>
      <c:catAx>
        <c:axId val="2072119800"/>
        <c:scaling>
          <c:orientation val="minMax"/>
        </c:scaling>
        <c:delete val="0"/>
        <c:axPos val="b"/>
        <c:title>
          <c:tx>
            <c:rich>
              <a:bodyPr/>
              <a:lstStyle/>
              <a:p>
                <a:pPr>
                  <a:defRPr sz="1800"/>
                </a:pPr>
                <a:r>
                  <a:rPr lang="en-US" sz="1800"/>
                  <a:t>Grain size (µm)</a:t>
                </a:r>
              </a:p>
            </c:rich>
          </c:tx>
          <c:layout/>
          <c:overlay val="0"/>
        </c:title>
        <c:majorTickMark val="out"/>
        <c:minorTickMark val="none"/>
        <c:tickLblPos val="nextTo"/>
        <c:txPr>
          <a:bodyPr/>
          <a:lstStyle/>
          <a:p>
            <a:pPr>
              <a:defRPr sz="1400"/>
            </a:pPr>
            <a:endParaRPr lang="en-US"/>
          </a:p>
        </c:txPr>
        <c:crossAx val="2079174184"/>
        <c:crosses val="autoZero"/>
        <c:auto val="1"/>
        <c:lblAlgn val="ctr"/>
        <c:lblOffset val="100"/>
        <c:noMultiLvlLbl val="0"/>
      </c:catAx>
      <c:valAx>
        <c:axId val="2079174184"/>
        <c:scaling>
          <c:orientation val="minMax"/>
        </c:scaling>
        <c:delete val="0"/>
        <c:axPos val="l"/>
        <c:majorGridlines/>
        <c:title>
          <c:tx>
            <c:rich>
              <a:bodyPr rot="-5400000" vert="horz"/>
              <a:lstStyle/>
              <a:p>
                <a:pPr>
                  <a:defRPr sz="1800"/>
                </a:pPr>
                <a:r>
                  <a:rPr lang="en-US" sz="1800"/>
                  <a:t>Proportion of sample mass</a:t>
                </a:r>
              </a:p>
            </c:rich>
          </c:tx>
          <c:layout/>
          <c:overlay val="0"/>
        </c:title>
        <c:numFmt formatCode="General" sourceLinked="1"/>
        <c:majorTickMark val="out"/>
        <c:minorTickMark val="none"/>
        <c:tickLblPos val="nextTo"/>
        <c:txPr>
          <a:bodyPr/>
          <a:lstStyle/>
          <a:p>
            <a:pPr>
              <a:defRPr sz="1400"/>
            </a:pPr>
            <a:endParaRPr lang="en-US"/>
          </a:p>
        </c:txPr>
        <c:crossAx val="2072119800"/>
        <c:crosses val="autoZero"/>
        <c:crossBetween val="between"/>
        <c:majorUnit val="0.1"/>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7</Pages>
  <Words>1671</Words>
  <Characters>9526</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UNCW</Company>
  <LinksUpToDate>false</LinksUpToDate>
  <CharactersWithSpaces>11175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Westgate</dc:creator>
  <cp:lastModifiedBy>Will White</cp:lastModifiedBy>
  <cp:revision>80</cp:revision>
  <dcterms:created xsi:type="dcterms:W3CDTF">2013-05-31T13:31:00Z</dcterms:created>
  <dcterms:modified xsi:type="dcterms:W3CDTF">2017-03-03T17:00:00Z</dcterms:modified>
</cp:coreProperties>
</file>