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B2B2B" w14:textId="0B38DCE8" w:rsidR="00172DFD" w:rsidRPr="001476EF" w:rsidRDefault="00172DFD" w:rsidP="00172DFD">
      <w:pPr>
        <w:jc w:val="center"/>
        <w:rPr>
          <w:rFonts w:ascii="Arial" w:hAnsi="Arial"/>
        </w:rPr>
      </w:pPr>
      <w:r>
        <w:rPr>
          <w:rFonts w:ascii="Arial" w:hAnsi="Arial"/>
        </w:rPr>
        <w:t>Pre-lab Assignment – </w:t>
      </w:r>
      <w:r w:rsidR="00583213">
        <w:rPr>
          <w:rFonts w:ascii="Arial" w:hAnsi="Arial"/>
        </w:rPr>
        <w:t>Fisheries &amp; Conservation</w:t>
      </w:r>
    </w:p>
    <w:p w14:paraId="41B403F0" w14:textId="77777777" w:rsidR="00172DFD" w:rsidRPr="001476EF" w:rsidRDefault="00172DFD" w:rsidP="00172DFD">
      <w:pPr>
        <w:jc w:val="center"/>
        <w:rPr>
          <w:rFonts w:ascii="Arial" w:hAnsi="Arial"/>
        </w:rPr>
      </w:pPr>
    </w:p>
    <w:p w14:paraId="3207D692" w14:textId="77777777" w:rsidR="00172DFD" w:rsidRPr="001476EF" w:rsidRDefault="00172DFD" w:rsidP="00172DFD">
      <w:pPr>
        <w:rPr>
          <w:rFonts w:ascii="Arial" w:hAnsi="Arial"/>
        </w:rPr>
      </w:pPr>
      <w:r w:rsidRPr="001476EF">
        <w:rPr>
          <w:rFonts w:ascii="Arial" w:hAnsi="Arial"/>
        </w:rPr>
        <w:t>Name: ____</w:t>
      </w:r>
      <w:r>
        <w:rPr>
          <w:rFonts w:ascii="Arial" w:hAnsi="Arial"/>
        </w:rPr>
        <w:t>_____________________________</w:t>
      </w:r>
      <w:r w:rsidRPr="001476EF">
        <w:rPr>
          <w:rFonts w:ascii="Arial" w:hAnsi="Arial"/>
        </w:rPr>
        <w:t>_</w:t>
      </w:r>
      <w:r w:rsidRPr="001476EF">
        <w:rPr>
          <w:rFonts w:ascii="Arial" w:hAnsi="Arial"/>
        </w:rPr>
        <w:tab/>
        <w:t>850_____________________________</w:t>
      </w:r>
    </w:p>
    <w:p w14:paraId="71BF6458" w14:textId="77777777" w:rsidR="00172DFD" w:rsidRPr="001476EF" w:rsidRDefault="00172DFD" w:rsidP="00172DFD">
      <w:pPr>
        <w:rPr>
          <w:rFonts w:ascii="Arial" w:hAnsi="Arial"/>
        </w:rPr>
      </w:pPr>
    </w:p>
    <w:p w14:paraId="567984D8" w14:textId="77777777" w:rsidR="00172DFD" w:rsidRPr="001476EF" w:rsidRDefault="00172DFD" w:rsidP="00172DFD">
      <w:pPr>
        <w:rPr>
          <w:rFonts w:ascii="Arial" w:hAnsi="Arial"/>
        </w:rPr>
      </w:pPr>
      <w:r w:rsidRPr="001476EF">
        <w:rPr>
          <w:rFonts w:ascii="Arial" w:hAnsi="Arial"/>
        </w:rPr>
        <w:t>Date: ______________________________________</w:t>
      </w:r>
    </w:p>
    <w:p w14:paraId="0EEA3C7F" w14:textId="77777777" w:rsidR="00172DFD" w:rsidRPr="001476EF" w:rsidRDefault="00172DFD" w:rsidP="00172DFD">
      <w:pPr>
        <w:rPr>
          <w:rFonts w:ascii="Arial" w:hAnsi="Arial"/>
        </w:rPr>
      </w:pPr>
    </w:p>
    <w:p w14:paraId="4B1F8870" w14:textId="77777777" w:rsidR="00172DFD" w:rsidRPr="001476EF" w:rsidRDefault="00172DFD" w:rsidP="00172DFD">
      <w:pPr>
        <w:spacing w:after="120"/>
        <w:rPr>
          <w:rFonts w:ascii="Arial" w:hAnsi="Arial"/>
        </w:rPr>
      </w:pPr>
      <w:r w:rsidRPr="001476EF">
        <w:rPr>
          <w:rFonts w:ascii="Arial" w:hAnsi="Arial"/>
          <w:bCs/>
        </w:rPr>
        <w:t>All pre-labs need to be completed prior to coming to lab.</w:t>
      </w:r>
      <w:r w:rsidRPr="001476EF">
        <w:rPr>
          <w:rFonts w:ascii="Arial" w:hAnsi="Arial"/>
        </w:rPr>
        <w:t xml:space="preserve">  You will hand these in to your TA before class.  If you don’t complete the pre-lab assignment then you will </w:t>
      </w:r>
      <w:r w:rsidRPr="001476EF">
        <w:rPr>
          <w:rFonts w:ascii="Arial" w:hAnsi="Arial"/>
          <w:b/>
          <w:bCs/>
        </w:rPr>
        <w:t xml:space="preserve">NOT </w:t>
      </w:r>
      <w:r w:rsidRPr="001476EF">
        <w:rPr>
          <w:rFonts w:ascii="Arial" w:hAnsi="Arial"/>
        </w:rPr>
        <w:t>be allowed to participate that week's lab/field trip and you will receive a zero grade for that particular lab.  </w:t>
      </w:r>
    </w:p>
    <w:p w14:paraId="13C2024A" w14:textId="77777777" w:rsidR="00172DFD" w:rsidRPr="001476EF" w:rsidRDefault="00172DFD" w:rsidP="00172DFD">
      <w:pPr>
        <w:spacing w:after="120"/>
        <w:rPr>
          <w:rFonts w:ascii="Arial" w:hAnsi="Arial"/>
        </w:rPr>
      </w:pPr>
    </w:p>
    <w:p w14:paraId="14DE7CF2" w14:textId="77777777" w:rsidR="00172DFD" w:rsidRPr="001476EF" w:rsidRDefault="00172DFD" w:rsidP="00172DFD">
      <w:pPr>
        <w:spacing w:after="120"/>
        <w:rPr>
          <w:rFonts w:ascii="Arial" w:hAnsi="Arial"/>
        </w:rPr>
      </w:pPr>
      <w:r w:rsidRPr="001476EF">
        <w:rPr>
          <w:rFonts w:ascii="Arial" w:hAnsi="Arial"/>
        </w:rPr>
        <w:t xml:space="preserve">Please provide brief answers or calculations to the following questions in the space provided.  </w:t>
      </w:r>
    </w:p>
    <w:p w14:paraId="19B79524" w14:textId="77777777" w:rsidR="001B6B14" w:rsidRDefault="001B6B14" w:rsidP="00172DFD">
      <w:pPr>
        <w:spacing w:after="120"/>
      </w:pPr>
    </w:p>
    <w:p w14:paraId="366BFBE6" w14:textId="2BE28A22" w:rsidR="00172DFD" w:rsidRDefault="00172DFD" w:rsidP="00172DFD">
      <w:pPr>
        <w:spacing w:after="120"/>
      </w:pPr>
      <w:r>
        <w:t xml:space="preserve">1. </w:t>
      </w:r>
      <w:r w:rsidR="00E56DF2">
        <w:t>What is the current size and bag limit for southern flounder in NC waters?</w:t>
      </w:r>
    </w:p>
    <w:p w14:paraId="67AB71EE" w14:textId="77777777" w:rsidR="00172DFD" w:rsidRDefault="00172DFD" w:rsidP="00172DFD">
      <w:pPr>
        <w:spacing w:after="120"/>
      </w:pPr>
    </w:p>
    <w:p w14:paraId="373EAD53" w14:textId="77777777" w:rsidR="00172DFD" w:rsidRDefault="00172DFD" w:rsidP="00172DFD">
      <w:pPr>
        <w:spacing w:after="120"/>
      </w:pPr>
    </w:p>
    <w:p w14:paraId="7A8C1846" w14:textId="2E448F84" w:rsidR="00172DFD" w:rsidRDefault="00172DFD" w:rsidP="00172DFD">
      <w:pPr>
        <w:spacing w:after="120"/>
      </w:pPr>
      <w:r>
        <w:t xml:space="preserve">2. </w:t>
      </w:r>
      <w:r w:rsidR="00E6180C">
        <w:t>What groups petitioned for a ban on inshore shrimp trawling in early 2017?</w:t>
      </w:r>
      <w:r w:rsidR="00EB6A81">
        <w:t xml:space="preserve"> Why?</w:t>
      </w:r>
      <w:bookmarkStart w:id="0" w:name="_GoBack"/>
      <w:bookmarkEnd w:id="0"/>
    </w:p>
    <w:p w14:paraId="6B8C2E70" w14:textId="77777777" w:rsidR="00172DFD" w:rsidRDefault="00172DFD" w:rsidP="00172DFD">
      <w:pPr>
        <w:spacing w:after="120"/>
      </w:pPr>
    </w:p>
    <w:p w14:paraId="7BDE6603" w14:textId="77777777" w:rsidR="00172DFD" w:rsidRDefault="00172DFD" w:rsidP="00172DFD">
      <w:pPr>
        <w:spacing w:after="120"/>
      </w:pPr>
    </w:p>
    <w:p w14:paraId="7193B6B4" w14:textId="77777777" w:rsidR="00E14125" w:rsidRDefault="00E14125" w:rsidP="00172DFD">
      <w:pPr>
        <w:spacing w:after="120"/>
      </w:pPr>
    </w:p>
    <w:p w14:paraId="1DFC6D83" w14:textId="7EC52EA5" w:rsidR="00172DFD" w:rsidRDefault="00172DFD" w:rsidP="00172DFD">
      <w:pPr>
        <w:spacing w:after="120"/>
      </w:pPr>
      <w:r>
        <w:t xml:space="preserve">3. </w:t>
      </w:r>
      <w:r w:rsidR="00331FB1">
        <w:t>What is the current status of the southern flounder fishery? (overfished or not, undergoing overfishing or not?)</w:t>
      </w:r>
    </w:p>
    <w:p w14:paraId="78020E22" w14:textId="77777777" w:rsidR="00172DFD" w:rsidRDefault="00172DFD" w:rsidP="00172DFD">
      <w:pPr>
        <w:spacing w:after="120"/>
      </w:pPr>
    </w:p>
    <w:p w14:paraId="01E51C80" w14:textId="77777777" w:rsidR="00172DFD" w:rsidRDefault="00172DFD" w:rsidP="00172DFD">
      <w:pPr>
        <w:spacing w:after="120"/>
      </w:pPr>
    </w:p>
    <w:p w14:paraId="4D830E93" w14:textId="77777777" w:rsidR="00172DFD" w:rsidRDefault="00172DFD" w:rsidP="00172DFD">
      <w:pPr>
        <w:spacing w:after="120"/>
      </w:pPr>
    </w:p>
    <w:p w14:paraId="34C57E4B" w14:textId="77777777" w:rsidR="00172DFD" w:rsidRDefault="00172DFD" w:rsidP="00172DFD">
      <w:pPr>
        <w:spacing w:after="120"/>
      </w:pPr>
    </w:p>
    <w:p w14:paraId="121AD05D" w14:textId="7D18772B" w:rsidR="00BD5FBD" w:rsidRDefault="00BD5FBD">
      <w:pPr>
        <w:spacing w:after="0" w:line="240" w:lineRule="auto"/>
      </w:pPr>
    </w:p>
    <w:p w14:paraId="20F833D3" w14:textId="77777777" w:rsidR="00597D0D" w:rsidRDefault="00597D0D">
      <w:pPr>
        <w:spacing w:after="0" w:line="240" w:lineRule="auto"/>
        <w:rPr>
          <w:b/>
        </w:rPr>
      </w:pPr>
      <w:r>
        <w:rPr>
          <w:b/>
        </w:rPr>
        <w:br w:type="page"/>
      </w:r>
    </w:p>
    <w:p w14:paraId="4D5FB63C" w14:textId="3BDBB8CA" w:rsidR="00851016" w:rsidRPr="00851016" w:rsidRDefault="00597D0D" w:rsidP="00851016">
      <w:pPr>
        <w:spacing w:after="0"/>
        <w:jc w:val="center"/>
        <w:rPr>
          <w:b/>
        </w:rPr>
      </w:pPr>
      <w:r>
        <w:rPr>
          <w:b/>
        </w:rPr>
        <w:lastRenderedPageBreak/>
        <w:t>Background</w:t>
      </w:r>
    </w:p>
    <w:p w14:paraId="6BDEF855" w14:textId="77777777" w:rsidR="00851016" w:rsidRDefault="00851016" w:rsidP="00626F19">
      <w:pPr>
        <w:spacing w:after="0"/>
      </w:pPr>
    </w:p>
    <w:p w14:paraId="61CF5FCA" w14:textId="1EBB6920" w:rsidR="00597D0D" w:rsidRDefault="00597D0D" w:rsidP="00597D0D">
      <w:r>
        <w:t>Marine resources (e.g., fisheries) often have a variety of user-groups and stakeholders interested in some outcome, use, or condition of the resource.  The relative influence of these different groups often defines the use and management of the resource, frequently though legislative processes (e.g., campaigning for and lobbying politicians) and public decisionmaking processes (e.g., speaking out in public hearings held when executive agencies propose new rules).  In some cases, the interests of multiple groups can be satisfied with compromise, but in other cases different groups’ interests are mutually exclusive, leading to conflict.  In that case, decisionmakers must weigh the needs and potential harm/benefit to each stakeholder group when formulating policy.  The example of conflicting interests we will consider is the</w:t>
      </w:r>
      <w:r w:rsidR="005F6DDF">
        <w:t xml:space="preserve"> management of fishing gear and methods in</w:t>
      </w:r>
      <w:r>
        <w:t xml:space="preserve"> North Carolina waters.</w:t>
      </w:r>
    </w:p>
    <w:p w14:paraId="60AF82D9" w14:textId="692D96D3" w:rsidR="007D6916" w:rsidRDefault="007D6916" w:rsidP="00597D0D">
      <w:r>
        <w:t>In particular we will focus on the fishery for southern flounder (</w:t>
      </w:r>
      <w:r>
        <w:rPr>
          <w:i/>
        </w:rPr>
        <w:t>Paralichthys lethostigma</w:t>
      </w:r>
      <w:r>
        <w:t xml:space="preserve">). This species spawns offshore, somewhere unknown on the continental shelf. Larvae recruit to the estuary, and spend the first 2-3 years of life there before migrating out of the inlets to the shelf to spawn. Some fish (but perhaps not all? It is unclear) return to the estuary after spawning. </w:t>
      </w:r>
      <w:r w:rsidR="00563517">
        <w:t xml:space="preserve">There are both recreational and commercial fisheries for southern flounder; the former is hook-and-line and the latter uses gillnets (in the Cape Fear region) and pound nets (in the Pamlico sound). Most fish are caught in the lower estuary during the outmigration to spawn in the late fall (Oct-Dec). The catch is predominantly 2-3 year-olds, so most fish are caught before they spawn. Consequently there are typically fishery closures in the late fall to allow some fish to migrate to spawn before being caught. The timing and duration of those closures is controversial. </w:t>
      </w:r>
      <w:r w:rsidR="00433D4D">
        <w:t xml:space="preserve">Additionally, management of </w:t>
      </w:r>
      <w:r w:rsidR="004D1D06">
        <w:t>southen flounder is complicated by two major factors: 1) the stock structure is unclear; it is possible that many larvae recruiting to NC estuaries were spawned by fish from other states to the south; and 2) there is not a clear stock-recruit relationship (perhaps because of point #1), so it is difficult to know whether the stock is overfished and/or undergoing overfishing.</w:t>
      </w:r>
    </w:p>
    <w:p w14:paraId="543F81AC" w14:textId="7B89C129" w:rsidR="00597D0D" w:rsidRDefault="00597D0D" w:rsidP="00597D0D">
      <w:r>
        <w:t>In North Carolina, use of gillnets in inshore waters (in estuaries and sounds) is permitted by commercial fishermen targeting a variety of fish but particularly southen flounder.  Gillnets are notoriously indiscriminate fishing gear, and they can en</w:t>
      </w:r>
      <w:r w:rsidR="007A1A13">
        <w:t xml:space="preserve">tangle and kill other animals. </w:t>
      </w:r>
      <w:r>
        <w:t>One type of bycatch of particular concern is green and loggerhead sea turtles</w:t>
      </w:r>
      <w:r w:rsidR="007A1A13">
        <w:t xml:space="preserve"> (</w:t>
      </w:r>
      <w:r w:rsidR="007A1A13">
        <w:rPr>
          <w:i/>
        </w:rPr>
        <w:t>Chelonia mydas</w:t>
      </w:r>
      <w:r w:rsidR="007A1A13">
        <w:t xml:space="preserve"> and </w:t>
      </w:r>
      <w:r w:rsidR="007A1A13">
        <w:rPr>
          <w:i/>
        </w:rPr>
        <w:t>Caretta caretta</w:t>
      </w:r>
      <w:r w:rsidR="007A1A13">
        <w:t>, respectively)</w:t>
      </w:r>
      <w:r>
        <w:t>, which are federally listed threatened species. Recent increases in the number of sea turtles caught in inshore nets has resulted in changes to the fishing regulations, as well as a lot of heated debates as to the importance of different marine resources.  Aside from turtles, there has also been concern about flounder catches themselves, which have been slowly but steadily declining for the past decade, suggesting that the resource is being overharvested.  In response, fishery regulations have been</w:t>
      </w:r>
      <w:r w:rsidR="007904E1">
        <w:t xml:space="preserve"> increasingly restrictive</w:t>
      </w:r>
      <w:r>
        <w:t>.  Specifically, size limits have been increased so that the fishery may only take older, larger fish now</w:t>
      </w:r>
      <w:r w:rsidR="007904E1">
        <w:t>, bag limits have been reduced, and seasonal closures have been imposed to limit fishing during the annual spawning migration</w:t>
      </w:r>
      <w:r>
        <w:t>.  Gill nets are also prohibited in certain areas, are limited in their total length, and must be checked more frequently than in the past (this makes them less cost-effective for fishermen).</w:t>
      </w:r>
    </w:p>
    <w:p w14:paraId="235E8A10" w14:textId="71DB23ED" w:rsidR="00597D0D" w:rsidRDefault="0043145A" w:rsidP="00597D0D">
      <w:r>
        <w:t xml:space="preserve">In 2016, conservation and recreational angler groups raised another fishery management issue: the </w:t>
      </w:r>
      <w:r w:rsidR="000C2982">
        <w:t xml:space="preserve">practice of shrimp trawlers operating in estuaries (particularly the Intracoastal Waterway). Shrimp </w:t>
      </w:r>
      <w:r w:rsidR="000C2982">
        <w:lastRenderedPageBreak/>
        <w:t xml:space="preserve">trawling is notorious for its high rate of bycatch (&gt; 50%), </w:t>
      </w:r>
      <w:r w:rsidR="00615607">
        <w:t xml:space="preserve">so there is concern that the shrimp fishery is negative affecting many </w:t>
      </w:r>
      <w:r w:rsidR="009915BF">
        <w:t>recreationally important fish populations, including croaker (</w:t>
      </w:r>
      <w:r w:rsidR="009915BF">
        <w:rPr>
          <w:i/>
        </w:rPr>
        <w:t>Micropogonias undulatus</w:t>
      </w:r>
      <w:r w:rsidR="009915BF">
        <w:t>), seatrout (</w:t>
      </w:r>
      <w:r w:rsidR="009915BF">
        <w:rPr>
          <w:i/>
        </w:rPr>
        <w:t xml:space="preserve">Cynoscion </w:t>
      </w:r>
      <w:r w:rsidR="0034688A">
        <w:rPr>
          <w:i/>
        </w:rPr>
        <w:t>nebulosus</w:t>
      </w:r>
      <w:r w:rsidR="009915BF">
        <w:t xml:space="preserve">) and to a </w:t>
      </w:r>
      <w:r w:rsidR="002A2912">
        <w:t xml:space="preserve">lesser degree southern flounder. </w:t>
      </w:r>
      <w:r w:rsidR="009F3881">
        <w:t xml:space="preserve">Fishery scientists who advise the state marine fisheries commission, however, point out that the trawls mostly kill juvenile fishes, a life stage during which mortality is high and highly density-dependent. Thus most of the bycaught fish likely would have died anyway, and the per-capita effect on the fish population is much less than the death of reproductive adult fish caught by hook and line. </w:t>
      </w:r>
      <w:r w:rsidR="00C75DB4">
        <w:t>Nonetheless, these groups succeeded in petitioning the fisheries commission to adopt the trawling ban in early 2017, outside of the usual internal process for setting fishery regulations.</w:t>
      </w:r>
    </w:p>
    <w:p w14:paraId="7CE354D6" w14:textId="77777777" w:rsidR="00597D0D" w:rsidRDefault="00597D0D" w:rsidP="00597D0D">
      <w:r>
        <w:t xml:space="preserve">Six common interests in fishery resources—though there can be many—are commercial fishermen, recreational/sportfishermen, conservationists, coastal business owners, seafood restauranteurs, and managers/scientists. The following summaries are generalizations of positions that differing stakeholders have historically held. </w:t>
      </w:r>
    </w:p>
    <w:p w14:paraId="383A8B75" w14:textId="77777777" w:rsidR="00597D0D" w:rsidRDefault="00597D0D" w:rsidP="00597D0D"/>
    <w:p w14:paraId="3904C8C4" w14:textId="48022D0C" w:rsidR="00597D0D" w:rsidRDefault="00597D0D" w:rsidP="00597D0D">
      <w:r>
        <w:rPr>
          <w:u w:val="single"/>
        </w:rPr>
        <w:t>Commercial f</w:t>
      </w:r>
      <w:r w:rsidRPr="00262EB4">
        <w:rPr>
          <w:u w:val="single"/>
        </w:rPr>
        <w:t>ishermen</w:t>
      </w:r>
      <w:r>
        <w:t xml:space="preserve">: Commercial fishermen catch flounder for sale to markets and restaurants.  They generally want to maximize jobs and effort (their ability to work).  Historically, fisheries were thought to be inexhaustible, and therefore work was rarely regulated and often encouraged. Fishermen also experience a ratchet effect: when fishing is good, one buys more boats, gear, etc. on credit.  Then one has to keeep fishing at the same profit level to repay mortgages and other debts, as well as to pay for gas, commercial licenses, etc. If harvests are reduced to ensure long-term sustainability, it is likely that some fishermen may see their profits fall so much that they have to leave the industry – thus they would be sacrificing current gains for future gains they won’t receive. Consequently there is a strong incentive for maintaining historical levels of exploitation, and a sense that changes advocated by scientists will only help future generations. </w:t>
      </w:r>
      <w:r w:rsidRPr="00262EB4">
        <w:rPr>
          <w:b/>
        </w:rPr>
        <w:t>In a fisheries debate,</w:t>
      </w:r>
      <w:r>
        <w:t xml:space="preserve"> </w:t>
      </w:r>
      <w:r w:rsidRPr="00262EB4">
        <w:rPr>
          <w:b/>
        </w:rPr>
        <w:t xml:space="preserve">fishermen have the advantage of a </w:t>
      </w:r>
      <w:r>
        <w:rPr>
          <w:b/>
        </w:rPr>
        <w:t>jobs and culture</w:t>
      </w:r>
      <w:r w:rsidRPr="00262EB4">
        <w:rPr>
          <w:b/>
        </w:rPr>
        <w:t xml:space="preserve"> argument (i.e., it’s politically hard to argue against jobs), but the disadvantage of a track record of often ignoring changes in a population and being susceptible to the tragedy of the</w:t>
      </w:r>
      <w:r>
        <w:rPr>
          <w:b/>
        </w:rPr>
        <w:t xml:space="preserve"> </w:t>
      </w:r>
      <w:r w:rsidRPr="00262EB4">
        <w:rPr>
          <w:b/>
        </w:rPr>
        <w:t>commons</w:t>
      </w:r>
      <w:r>
        <w:rPr>
          <w:rStyle w:val="FootnoteReference"/>
          <w:b/>
        </w:rPr>
        <w:footnoteReference w:id="1"/>
      </w:r>
      <w:r w:rsidRPr="00262EB4">
        <w:rPr>
          <w:b/>
        </w:rPr>
        <w:t>.</w:t>
      </w:r>
      <w:r>
        <w:t xml:space="preserve">  Often, unchecked fishing pressure (open access) results in overexploitation, collapse, and loss of the resource. </w:t>
      </w:r>
      <w:r w:rsidR="00896D03">
        <w:t>Depending on the recent success of the fishery, commercial fishermen may have more or less money to use for lobbying politicians.</w:t>
      </w:r>
    </w:p>
    <w:p w14:paraId="0796E910" w14:textId="77777777" w:rsidR="00597D0D" w:rsidRDefault="00597D0D" w:rsidP="00597D0D"/>
    <w:p w14:paraId="4377C6D5" w14:textId="77777777" w:rsidR="00597D0D" w:rsidRPr="00AC0C1C" w:rsidRDefault="00597D0D" w:rsidP="00597D0D">
      <w:pPr>
        <w:rPr>
          <w:b/>
        </w:rPr>
      </w:pPr>
      <w:r>
        <w:rPr>
          <w:u w:val="single"/>
        </w:rPr>
        <w:t>Recreational fishermen</w:t>
      </w:r>
      <w:r>
        <w:t xml:space="preserve">: Recreational fishermen depend on the fishery for leisure, not livelihood, so they tend to be less sensitive to changes in fishery regulations (they can always switch to different species, etc.).  At the same time, they are often resentful of stricter regulations, because there is a sense that because any one sportfishermen catches so few fish, it is impossible for them to be personally responsible for the health of the fishery.  Nonetheless the sheer number of recreational fishermen can </w:t>
      </w:r>
      <w:r>
        <w:lastRenderedPageBreak/>
        <w:t xml:space="preserve">mean that they have a large collective impact.  This situation sets up a jealousy and conflict with commercial fishermen: the sportfishermen perceive the commercial fleet to be competitors for their fish (especially because they reduce the number of large trophy fish), while the commercial fishermen often resent the higher incomes and sense of entitlement of the sportfishers.  Though they could be natural allies, this conflict often means that recreational fishermen favor restrictions on purely commercial gear such as gillnets.  At the same time they may be hesitant to ally with conservation groups, who may desire to restrict fishing even further.  </w:t>
      </w:r>
      <w:r>
        <w:rPr>
          <w:b/>
        </w:rPr>
        <w:t>Recreational fishermen have the advantage of outsized economic influence (due to money spent on boats, fuel, accessories, fishing guides, hotels, etc., plus their overall higher incomes), plus the freedom of not depending on the fishery for their income.  Their main disadvantage is their conflict with the culture and heritage of the region, and the perception of ‘carpetbagging’ by non-resident sportfishermen.</w:t>
      </w:r>
    </w:p>
    <w:p w14:paraId="65139FCF" w14:textId="77777777" w:rsidR="00597D0D" w:rsidRDefault="00597D0D" w:rsidP="00597D0D"/>
    <w:p w14:paraId="3CE6BE83" w14:textId="77777777" w:rsidR="00597D0D" w:rsidRDefault="00597D0D" w:rsidP="00597D0D">
      <w:pPr>
        <w:rPr>
          <w:b/>
        </w:rPr>
      </w:pPr>
      <w:r>
        <w:rPr>
          <w:u w:val="single"/>
        </w:rPr>
        <w:t>Business owners</w:t>
      </w:r>
      <w:r>
        <w:t xml:space="preserve">: Coastal economies depend on the marine resources to attract tourists and visitors to the area (in larger, tourist-oriented communities) and to sustain a local consumer base (particularly in smaller, fishing-oriented communities).  While they do not have a direct stake in fishery management, they are inevitably affected by the so-called multiplier effect: how does a dollar spent (or not spent) on a fishing or tourism activity ramify through the economy?  </w:t>
      </w:r>
      <w:r>
        <w:rPr>
          <w:b/>
        </w:rPr>
        <w:t>In general, business owners would prefer a stable or perhaps gently increasing economy, and to avoid risky, uncertain outcomes such a sudden shutdown of one part of the economy.  Some owners may be more oriented towards local clientele, while others may seek to entice primarily out-of-town customers.  Depending on this orientation (and perhaps the issue at hand), they may seek to align with either fishing or conservation interests. They have the advantage of being able to influence local politics with monetary contributions and the promise of jobs, but their weakness is mistrust by more ideological or fishing-centric groups.</w:t>
      </w:r>
    </w:p>
    <w:p w14:paraId="7B277A28" w14:textId="77777777" w:rsidR="00597D0D" w:rsidRDefault="00597D0D" w:rsidP="00597D0D">
      <w:pPr>
        <w:rPr>
          <w:b/>
        </w:rPr>
      </w:pPr>
    </w:p>
    <w:p w14:paraId="3486572E" w14:textId="77777777" w:rsidR="00597D0D" w:rsidRPr="00163C83" w:rsidRDefault="00597D0D" w:rsidP="00597D0D">
      <w:pPr>
        <w:rPr>
          <w:b/>
        </w:rPr>
      </w:pPr>
      <w:r>
        <w:rPr>
          <w:u w:val="single"/>
        </w:rPr>
        <w:t>Seafood proprieters</w:t>
      </w:r>
      <w:r>
        <w:t xml:space="preserve">: A subset of coastal business owners are those who depend on commercial fishermen to provide them with fish for direct sale or restaurant service.  The same basic logic of business owners applies to these entrepeneuers (slow, predictable growth is probably ideal), but they have a unique tie to marine resources that differentiates them.  </w:t>
      </w:r>
      <w:r>
        <w:rPr>
          <w:b/>
        </w:rPr>
        <w:t>The strength of this group is their natural alliance with commercial fishermen, upon whom they depend.  However there may be opportunities to align with conservation interests, given the recent interest in the “eat local” movement as a pro-environment choice.</w:t>
      </w:r>
    </w:p>
    <w:p w14:paraId="20CB42ED" w14:textId="77777777" w:rsidR="00597D0D" w:rsidRDefault="00597D0D" w:rsidP="00597D0D"/>
    <w:p w14:paraId="30D32EF4" w14:textId="77777777" w:rsidR="00597D0D" w:rsidRDefault="00597D0D" w:rsidP="00597D0D">
      <w:pPr>
        <w:rPr>
          <w:b/>
        </w:rPr>
      </w:pPr>
      <w:r w:rsidRPr="00262EB4">
        <w:rPr>
          <w:u w:val="single"/>
        </w:rPr>
        <w:t>Conservationists</w:t>
      </w:r>
      <w:r>
        <w:t xml:space="preserve">: Within the past few decades, there has been a growing proportion of society that identifies the benefits of conservation of resources.  This can take on the argument of either reduced levels of fishing so more fish are left behind (but economically wasteful as in underfishing) or of non-use of a resource in order to protect the entire population. Additionally, direct and indirect ecosystem interactions are increasingly identified as valuable both intrinsically and economically.  </w:t>
      </w:r>
      <w:r w:rsidRPr="00262EB4">
        <w:rPr>
          <w:b/>
        </w:rPr>
        <w:t xml:space="preserve">Conservationists have the advantage of a growing literature identifying the benefits of native and healthy ecosystems </w:t>
      </w:r>
      <w:r w:rsidRPr="00262EB4">
        <w:rPr>
          <w:b/>
        </w:rPr>
        <w:lastRenderedPageBreak/>
        <w:t xml:space="preserve">(e.g., ecosystem services), </w:t>
      </w:r>
      <w:r>
        <w:rPr>
          <w:b/>
        </w:rPr>
        <w:t xml:space="preserve">as well as the legal recourse of laws such as the Magnuson-Stevens Sustainable Fisheries Act (which requires sustainable management using the best available science) and the Endangered Species Act (which can restrict activities that affect protected species) </w:t>
      </w:r>
      <w:r w:rsidRPr="00262EB4">
        <w:rPr>
          <w:b/>
        </w:rPr>
        <w:t xml:space="preserve">but the disadvantage of conflicts with short-term economic arguments, both in terms of loss of employment and loss of fisheries yield. </w:t>
      </w:r>
    </w:p>
    <w:p w14:paraId="30BD0A9A" w14:textId="77777777" w:rsidR="00597D0D" w:rsidRDefault="00597D0D" w:rsidP="00597D0D"/>
    <w:p w14:paraId="5F4C861E" w14:textId="77777777" w:rsidR="00597D0D" w:rsidRPr="00262EB4" w:rsidRDefault="00597D0D" w:rsidP="00597D0D">
      <w:pPr>
        <w:rPr>
          <w:b/>
        </w:rPr>
      </w:pPr>
      <w:r>
        <w:rPr>
          <w:u w:val="single"/>
        </w:rPr>
        <w:t>Managers/</w:t>
      </w:r>
      <w:r w:rsidRPr="00262EB4">
        <w:rPr>
          <w:u w:val="single"/>
        </w:rPr>
        <w:t>Scientists</w:t>
      </w:r>
      <w:r>
        <w:t xml:space="preserve">: Managers and scientists work toward developing better ways to monitor the population, in order to both understand how a fish stock responds to varying changes in natural mortality, fishing mortality, and environmental conditions.  This task usually includes the development and use of a stock assessment.  </w:t>
      </w:r>
      <w:r w:rsidRPr="00262EB4">
        <w:rPr>
          <w:b/>
        </w:rPr>
        <w:t>Scientists have the advantage of validated principles of population ecology that can be used to understand and project sustainable levels of harvest, but the disadvantage of</w:t>
      </w:r>
      <w:r>
        <w:rPr>
          <w:b/>
        </w:rPr>
        <w:t xml:space="preserve"> often</w:t>
      </w:r>
      <w:r w:rsidRPr="00262EB4">
        <w:rPr>
          <w:b/>
        </w:rPr>
        <w:t xml:space="preserve"> incomplete data, natural variability, and the resulting loss of trust when scientific predictions are incorrect. </w:t>
      </w:r>
    </w:p>
    <w:p w14:paraId="15C21461" w14:textId="77777777" w:rsidR="00597D0D" w:rsidRDefault="00597D0D" w:rsidP="00597D0D">
      <w:pPr>
        <w:rPr>
          <w:b/>
        </w:rPr>
      </w:pPr>
    </w:p>
    <w:p w14:paraId="51947ACB" w14:textId="77777777" w:rsidR="00597D0D" w:rsidRDefault="00597D0D" w:rsidP="00597D0D">
      <w:pPr>
        <w:rPr>
          <w:b/>
        </w:rPr>
      </w:pPr>
    </w:p>
    <w:p w14:paraId="4837A85E" w14:textId="77777777" w:rsidR="00597D0D" w:rsidRDefault="00597D0D" w:rsidP="00597D0D">
      <w:pPr>
        <w:rPr>
          <w:b/>
        </w:rPr>
      </w:pPr>
      <w:r>
        <w:rPr>
          <w:b/>
        </w:rPr>
        <w:t>Assignment &amp; Activity</w:t>
      </w:r>
    </w:p>
    <w:p w14:paraId="1A430A33" w14:textId="77777777" w:rsidR="00597D0D" w:rsidRDefault="00597D0D" w:rsidP="00597D0D">
      <w:pPr>
        <w:rPr>
          <w:b/>
        </w:rPr>
      </w:pPr>
    </w:p>
    <w:p w14:paraId="18EAF729" w14:textId="4E41A13B" w:rsidR="00597D0D" w:rsidRDefault="00597D0D" w:rsidP="00597D0D">
      <w:r>
        <w:t xml:space="preserve">For this lab, you will be assigned to one of the six stakeholder groups.  Please familiarize yourself with common positions your group might take in a fisheries debate, as well as the strengths and weaknesses of the other groups. The debate we have in class will be centered on the flounder fishery in North Carolina, which has recently undergone some contentious meetings and regulatory changes not unlike those that other resources have gone through.  </w:t>
      </w:r>
      <w:r w:rsidR="00CF6362">
        <w:t xml:space="preserve">The </w:t>
      </w:r>
      <w:r w:rsidR="00CF6362" w:rsidRPr="00E87A71">
        <w:rPr>
          <w:b/>
        </w:rPr>
        <w:t xml:space="preserve">background readings on the course website </w:t>
      </w:r>
      <w:r w:rsidR="00CF6362">
        <w:t>will provide some context for the location situation.</w:t>
      </w:r>
    </w:p>
    <w:p w14:paraId="4111C05C" w14:textId="31B23CC1" w:rsidR="00975482" w:rsidRDefault="00597D0D" w:rsidP="00597D0D">
      <w:r>
        <w:t>What we have in North Carolina is a good, old fashioned fishery debate among fishermen that want to fish</w:t>
      </w:r>
      <w:r w:rsidR="00526E68">
        <w:t xml:space="preserve"> (but commercial and recreational fishermen want to fish in different ways with different priorities)</w:t>
      </w:r>
      <w:r>
        <w:t xml:space="preserve">, managers that want to improve knowledge and the effectiveness of regulations, business owners and restauranteurs who want to ensure profits, and </w:t>
      </w:r>
      <w:r w:rsidR="00ED1527">
        <w:t>conservation advocates who generally want less harvest overall</w:t>
      </w:r>
      <w:r>
        <w:t xml:space="preserve">.  </w:t>
      </w:r>
      <w:r w:rsidR="004D6E52">
        <w:t>Given statutory constraints (the fishery must be sustainable and not overfished, and endangered sea turtles must be protected), the Marine Fishery Commission must find solutions that satisfy as many stakeholders as possible.</w:t>
      </w:r>
    </w:p>
    <w:p w14:paraId="610D6EB9" w14:textId="2B0EA1B3" w:rsidR="00975482" w:rsidRDefault="00975482" w:rsidP="00597D0D">
      <w:r>
        <w:t xml:space="preserve">In this exercise you will </w:t>
      </w:r>
      <w:r w:rsidR="00FD2A89">
        <w:t>participate in a mock public hearing. The TA will fill the role of the policymaking commission, and each stakeholder group will have opportunities to voice their position. The commission will also call upon the ma</w:t>
      </w:r>
      <w:r w:rsidR="00972D68">
        <w:t>nagers to provide expert advice (although they are free to ignore it!).</w:t>
      </w:r>
      <w:r w:rsidR="00EA6C22">
        <w:t xml:space="preserve"> The policy options on the table at this meeting are:</w:t>
      </w:r>
    </w:p>
    <w:p w14:paraId="156DA98F" w14:textId="4A078EBA" w:rsidR="00EA6C22" w:rsidRDefault="00EA6C22" w:rsidP="00597D0D">
      <w:r>
        <w:lastRenderedPageBreak/>
        <w:t xml:space="preserve">1) </w:t>
      </w:r>
      <w:r w:rsidR="001A4F49">
        <w:t>Additional restrictions on the duration of the fall fishing season, including a longer closure of the commercial fishery in late November and December.</w:t>
      </w:r>
    </w:p>
    <w:p w14:paraId="0C63765F" w14:textId="23BCCAD4" w:rsidR="00FB6D58" w:rsidRDefault="00FB6D58" w:rsidP="00597D0D">
      <w:r>
        <w:t>2) Ban on all inshore gillnets</w:t>
      </w:r>
    </w:p>
    <w:p w14:paraId="1CBDEC54" w14:textId="3D2006AB" w:rsidR="00FB6D58" w:rsidRDefault="00FB6D58" w:rsidP="00597D0D">
      <w:r>
        <w:t>3) Ban on inshore shrimp trawling</w:t>
      </w:r>
    </w:p>
    <w:p w14:paraId="14A46351" w14:textId="6E66BFA9" w:rsidR="00843449" w:rsidRDefault="00843449" w:rsidP="00597D0D">
      <w:r>
        <w:t xml:space="preserve">4) </w:t>
      </w:r>
      <w:r w:rsidR="00F84AAE">
        <w:t>Additional restrictions on bag and size limits (only keep flounder &gt; 17 inches and only 2 per person per day).</w:t>
      </w:r>
      <w:r w:rsidR="00B76B0C">
        <w:t xml:space="preserve"> (Note this would be up from a 15-inch limit).</w:t>
      </w:r>
    </w:p>
    <w:p w14:paraId="21007908" w14:textId="2A2FF5FC" w:rsidR="00044C65" w:rsidRDefault="00044C65" w:rsidP="00597D0D">
      <w:r>
        <w:t>5) No change in management.</w:t>
      </w:r>
    </w:p>
    <w:p w14:paraId="6CFE357C" w14:textId="322D231B" w:rsidR="00597D0D" w:rsidRDefault="00524529" w:rsidP="00597D0D">
      <w:r>
        <w:t>The TA will provide the rul</w:t>
      </w:r>
      <w:r w:rsidR="00044C65">
        <w:t xml:space="preserve">es of the debate, but essentially each side will be asked to make opening statements and then have opportunities to respond and debate with the positions of the other groups. The goal is to persuade </w:t>
      </w:r>
      <w:r w:rsidR="001A50F4">
        <w:t>the management commission to adopt your preferred alternative action.</w:t>
      </w:r>
    </w:p>
    <w:p w14:paraId="6F56BC79" w14:textId="092CE997" w:rsidR="00597D0D" w:rsidRDefault="00597D0D" w:rsidP="00597D0D">
      <w:r>
        <w:t xml:space="preserve">Each of the groups will be charged with defending their position, keeping in mind that compromise is often the most likely solution.  This means that you need to identify the priorities of your argument, and be confident in what you are </w:t>
      </w:r>
      <w:r w:rsidRPr="00A248AB">
        <w:rPr>
          <w:b/>
        </w:rPr>
        <w:t>willing to concede</w:t>
      </w:r>
      <w:r>
        <w:t xml:space="preserve"> and red lines for what you will</w:t>
      </w:r>
      <w:r w:rsidRPr="00A248AB">
        <w:rPr>
          <w:b/>
        </w:rPr>
        <w:t xml:space="preserve"> not give up</w:t>
      </w:r>
      <w:r>
        <w:t>.  The following page has suggested references and documents that will help each group; while you should focus on your group, it might not be a bad idea in anticipation to glance over some of the documents and subsequent arguments that other groups will make.  You will need to familiarize yourself with your position prior to class</w:t>
      </w:r>
      <w:r w:rsidR="00223443">
        <w:t>.</w:t>
      </w:r>
      <w:r>
        <w:t xml:space="preserve">  When you arrive to lab, you will have time (~30 minutes) to work with your group before the debate starts. You may bring computers to class for this purpose. Your TA will moderate and be the final judge of the management policy adopted. </w:t>
      </w:r>
    </w:p>
    <w:p w14:paraId="6D89537B" w14:textId="77777777" w:rsidR="00597D0D" w:rsidRDefault="00597D0D" w:rsidP="00597D0D"/>
    <w:p w14:paraId="48549AAE" w14:textId="77777777" w:rsidR="00597D0D" w:rsidRPr="0043646B" w:rsidRDefault="00597D0D" w:rsidP="00597D0D">
      <w:pPr>
        <w:rPr>
          <w:i/>
        </w:rPr>
      </w:pPr>
      <w:r w:rsidRPr="0043646B">
        <w:rPr>
          <w:i/>
        </w:rPr>
        <w:t>Ideas for arguments and supporting documents</w:t>
      </w:r>
    </w:p>
    <w:p w14:paraId="5718E995" w14:textId="77777777" w:rsidR="00597D0D" w:rsidRPr="00B41F4F" w:rsidRDefault="00597D0D" w:rsidP="00597D0D">
      <w:pPr>
        <w:rPr>
          <w:b/>
        </w:rPr>
      </w:pPr>
      <w:r>
        <w:rPr>
          <w:b/>
        </w:rPr>
        <w:t xml:space="preserve">Commerical </w:t>
      </w:r>
      <w:r w:rsidRPr="00B41F4F">
        <w:rPr>
          <w:b/>
        </w:rPr>
        <w:t>Fishermen</w:t>
      </w:r>
    </w:p>
    <w:p w14:paraId="71C5D151" w14:textId="77777777" w:rsidR="00597D0D" w:rsidRDefault="00597D0D" w:rsidP="00597D0D">
      <w:pPr>
        <w:pStyle w:val="ListParagraph"/>
        <w:numPr>
          <w:ilvl w:val="0"/>
          <w:numId w:val="6"/>
        </w:numPr>
        <w:spacing w:after="0" w:line="240" w:lineRule="auto"/>
        <w:contextualSpacing/>
      </w:pPr>
      <w:r w:rsidRPr="00B6423D">
        <w:t xml:space="preserve">Consider the cultural </w:t>
      </w:r>
      <w:r>
        <w:t>argument and what fishing means to coastal North Carolina</w:t>
      </w:r>
    </w:p>
    <w:p w14:paraId="4CFC089C" w14:textId="77777777" w:rsidR="00597D0D" w:rsidRDefault="00597D0D" w:rsidP="00597D0D">
      <w:pPr>
        <w:pStyle w:val="ListParagraph"/>
        <w:numPr>
          <w:ilvl w:val="0"/>
          <w:numId w:val="6"/>
        </w:numPr>
        <w:spacing w:after="0" w:line="240" w:lineRule="auto"/>
        <w:contextualSpacing/>
      </w:pPr>
      <w:r>
        <w:t xml:space="preserve">Flounder are a high-value resource: </w:t>
      </w:r>
      <w:r w:rsidRPr="00271410">
        <w:t>http://portal.ncdenr.org/web/mf/12southernflounderssr11</w:t>
      </w:r>
    </w:p>
    <w:p w14:paraId="7BE32FFF" w14:textId="77777777" w:rsidR="00597D0D" w:rsidRDefault="00597D0D" w:rsidP="00597D0D">
      <w:pPr>
        <w:pStyle w:val="ListParagraph"/>
        <w:numPr>
          <w:ilvl w:val="0"/>
          <w:numId w:val="6"/>
        </w:numPr>
        <w:spacing w:after="0" w:line="240" w:lineRule="auto"/>
        <w:contextualSpacing/>
      </w:pPr>
      <w:r>
        <w:t xml:space="preserve">Economic profile of North Carolina commercial fisheries: </w:t>
      </w:r>
      <w:r w:rsidRPr="00271410">
        <w:t>http://portal.ncdenr.org/c/document_library/get_file?uuid=d7f8c82d-4b60-4162-8d31-6bfe8a6dbad3&amp;groupId=38337</w:t>
      </w:r>
    </w:p>
    <w:p w14:paraId="55B535FB" w14:textId="77777777" w:rsidR="00597D0D" w:rsidRDefault="00597D0D" w:rsidP="00597D0D"/>
    <w:p w14:paraId="23E4D133" w14:textId="77777777" w:rsidR="00597D0D" w:rsidRPr="00631862" w:rsidRDefault="00597D0D" w:rsidP="00597D0D">
      <w:pPr>
        <w:rPr>
          <w:b/>
        </w:rPr>
      </w:pPr>
      <w:r w:rsidRPr="00631862">
        <w:rPr>
          <w:b/>
        </w:rPr>
        <w:t>Recreational Fishermen</w:t>
      </w:r>
    </w:p>
    <w:p w14:paraId="1C3A6467" w14:textId="77777777" w:rsidR="00597D0D" w:rsidRDefault="00597D0D" w:rsidP="00597D0D">
      <w:pPr>
        <w:ind w:left="720" w:hanging="360"/>
      </w:pPr>
      <w:r>
        <w:t>• </w:t>
      </w:r>
      <w:r>
        <w:tab/>
        <w:t>Consider how different types of fishing restrictions might differentially affect commercial versus recreational take (and may or may not affect turtles)</w:t>
      </w:r>
      <w:r>
        <w:tab/>
      </w:r>
    </w:p>
    <w:p w14:paraId="072A72DA" w14:textId="77777777" w:rsidR="00597D0D" w:rsidRDefault="00597D0D" w:rsidP="00597D0D">
      <w:pPr>
        <w:ind w:left="720" w:hanging="360"/>
      </w:pPr>
      <w:r>
        <w:t>• </w:t>
      </w:r>
      <w:r>
        <w:tab/>
        <w:t xml:space="preserve">Economic value of charter recreational fishing: </w:t>
      </w:r>
      <w:r w:rsidRPr="00631862">
        <w:t>http://www.appstate.edu/~whiteheadjc/research/Final_FRG_Rpt_07-FEG-05.pdf</w:t>
      </w:r>
    </w:p>
    <w:p w14:paraId="0284C7DA" w14:textId="77777777" w:rsidR="00597D0D" w:rsidRDefault="00597D0D" w:rsidP="00597D0D"/>
    <w:p w14:paraId="3AF3A194" w14:textId="77777777" w:rsidR="00597D0D" w:rsidRDefault="00597D0D" w:rsidP="00597D0D">
      <w:pPr>
        <w:rPr>
          <w:b/>
        </w:rPr>
      </w:pPr>
      <w:r>
        <w:rPr>
          <w:b/>
        </w:rPr>
        <w:t>Coastal business owners</w:t>
      </w:r>
    </w:p>
    <w:p w14:paraId="2F8A8B21" w14:textId="77777777" w:rsidR="00597D0D" w:rsidRDefault="00597D0D" w:rsidP="00597D0D">
      <w:pPr>
        <w:pStyle w:val="ListParagraph"/>
        <w:numPr>
          <w:ilvl w:val="0"/>
          <w:numId w:val="10"/>
        </w:numPr>
        <w:spacing w:after="0" w:line="240" w:lineRule="auto"/>
        <w:contextualSpacing/>
      </w:pPr>
      <w:r>
        <w:t>Consider the relative value of different segments of the economy (commercial fishing, recreational fishing, eco-tourism, etc.) and how they would affect a typical local business</w:t>
      </w:r>
    </w:p>
    <w:p w14:paraId="71082BBB" w14:textId="77777777" w:rsidR="00597D0D" w:rsidRDefault="00597D0D" w:rsidP="00597D0D">
      <w:pPr>
        <w:pStyle w:val="ListParagraph"/>
        <w:numPr>
          <w:ilvl w:val="0"/>
          <w:numId w:val="10"/>
        </w:numPr>
        <w:spacing w:after="0" w:line="240" w:lineRule="auto"/>
        <w:contextualSpacing/>
      </w:pPr>
      <w:r>
        <w:t>How do different regulations affect the health &amp; welfare of those economies? Consider both and long-term.</w:t>
      </w:r>
    </w:p>
    <w:p w14:paraId="61828E5B" w14:textId="77777777" w:rsidR="00597D0D" w:rsidRPr="006B3561" w:rsidRDefault="00597D0D" w:rsidP="00597D0D">
      <w:pPr>
        <w:pStyle w:val="ListParagraph"/>
        <w:numPr>
          <w:ilvl w:val="0"/>
          <w:numId w:val="10"/>
        </w:numPr>
        <w:spacing w:after="0" w:line="240" w:lineRule="auto"/>
        <w:contextualSpacing/>
      </w:pPr>
      <w:r>
        <w:t xml:space="preserve">Local chambers of commerce: </w:t>
      </w:r>
      <w:r w:rsidRPr="004418DB">
        <w:t>http://www.wilmingtonchamber.org</w:t>
      </w:r>
      <w:r>
        <w:t xml:space="preserve">, </w:t>
      </w:r>
      <w:r w:rsidRPr="004418DB">
        <w:t>http://www.nccoastchamber.com</w:t>
      </w:r>
    </w:p>
    <w:p w14:paraId="689C28C6" w14:textId="77777777" w:rsidR="00597D0D" w:rsidRDefault="00597D0D" w:rsidP="00597D0D"/>
    <w:p w14:paraId="49D52D77" w14:textId="77777777" w:rsidR="00597D0D" w:rsidRDefault="00597D0D" w:rsidP="00597D0D">
      <w:pPr>
        <w:rPr>
          <w:b/>
        </w:rPr>
      </w:pPr>
      <w:r>
        <w:rPr>
          <w:b/>
        </w:rPr>
        <w:t>Seafood proprietors</w:t>
      </w:r>
    </w:p>
    <w:p w14:paraId="123DF989" w14:textId="77777777" w:rsidR="00597D0D" w:rsidRDefault="00597D0D" w:rsidP="00597D0D">
      <w:pPr>
        <w:pStyle w:val="ListParagraph"/>
        <w:numPr>
          <w:ilvl w:val="0"/>
          <w:numId w:val="11"/>
        </w:numPr>
        <w:spacing w:after="0" w:line="240" w:lineRule="auto"/>
        <w:contextualSpacing/>
      </w:pPr>
      <w:r>
        <w:t>Consider the sources of your supply and demand.  Think about potential alliances and where your allegiance should lie.</w:t>
      </w:r>
    </w:p>
    <w:p w14:paraId="6E9AC54C" w14:textId="77777777" w:rsidR="00597D0D" w:rsidRPr="004418DB" w:rsidRDefault="00597D0D" w:rsidP="00597D0D">
      <w:pPr>
        <w:pStyle w:val="ListParagraph"/>
        <w:numPr>
          <w:ilvl w:val="0"/>
          <w:numId w:val="11"/>
        </w:numPr>
        <w:spacing w:after="0" w:line="240" w:lineRule="auto"/>
        <w:contextualSpacing/>
      </w:pPr>
      <w:r>
        <w:t xml:space="preserve">Local seafood groups: </w:t>
      </w:r>
      <w:r w:rsidRPr="001437E5">
        <w:t>http://brunswickcatch.com</w:t>
      </w:r>
      <w:r>
        <w:t xml:space="preserve">, </w:t>
      </w:r>
      <w:r w:rsidRPr="00300E39">
        <w:t>http://www.nccatch.org</w:t>
      </w:r>
    </w:p>
    <w:p w14:paraId="428FEE38" w14:textId="77777777" w:rsidR="00597D0D" w:rsidRDefault="00597D0D" w:rsidP="00597D0D"/>
    <w:p w14:paraId="26B2ACB1" w14:textId="77777777" w:rsidR="00597D0D" w:rsidRPr="00B41F4F" w:rsidRDefault="00597D0D" w:rsidP="00597D0D">
      <w:pPr>
        <w:rPr>
          <w:b/>
        </w:rPr>
      </w:pPr>
      <w:r w:rsidRPr="00B41F4F">
        <w:rPr>
          <w:b/>
        </w:rPr>
        <w:t>Managers and Scientists</w:t>
      </w:r>
    </w:p>
    <w:p w14:paraId="2F97CDAE" w14:textId="77777777" w:rsidR="00597D0D" w:rsidRDefault="00597D0D" w:rsidP="00597D0D">
      <w:pPr>
        <w:pStyle w:val="ListParagraph"/>
        <w:numPr>
          <w:ilvl w:val="0"/>
          <w:numId w:val="7"/>
        </w:numPr>
        <w:spacing w:after="0" w:line="240" w:lineRule="auto"/>
        <w:contextualSpacing/>
      </w:pPr>
      <w:r>
        <w:t xml:space="preserve">The 1997 Fisheries Reform Act: </w:t>
      </w:r>
      <w:r w:rsidRPr="00B6423D">
        <w:t>http://www.ncfisheries.net/content/reform/reform.htm</w:t>
      </w:r>
    </w:p>
    <w:p w14:paraId="6DBA5BB5" w14:textId="77777777" w:rsidR="00597D0D" w:rsidRDefault="00597D0D" w:rsidP="00597D0D">
      <w:pPr>
        <w:pStyle w:val="ListParagraph"/>
        <w:numPr>
          <w:ilvl w:val="0"/>
          <w:numId w:val="7"/>
        </w:numPr>
        <w:spacing w:after="0" w:line="240" w:lineRule="auto"/>
        <w:contextualSpacing/>
      </w:pPr>
      <w:r>
        <w:t xml:space="preserve">Flounder stock status presentation: </w:t>
      </w:r>
      <w:r w:rsidRPr="00A84FB3">
        <w:t>http://www.ncdmf.net/mfc/MFC_downloads/jan2009/SouthernFlounderAssessment.pdf</w:t>
      </w:r>
    </w:p>
    <w:p w14:paraId="215D243E" w14:textId="77777777" w:rsidR="00597D0D" w:rsidRDefault="00597D0D" w:rsidP="00597D0D">
      <w:pPr>
        <w:pStyle w:val="ListParagraph"/>
        <w:numPr>
          <w:ilvl w:val="0"/>
          <w:numId w:val="7"/>
        </w:numPr>
        <w:spacing w:after="0" w:line="240" w:lineRule="auto"/>
        <w:contextualSpacing/>
      </w:pPr>
      <w:r>
        <w:t xml:space="preserve">NCDMF stock status for flounder: </w:t>
      </w:r>
      <w:r w:rsidRPr="00DA62E6">
        <w:t>http://00de17f.netsolhost.com/fmps/downloads/souflounderSA.pdf</w:t>
      </w:r>
    </w:p>
    <w:p w14:paraId="0D44312C" w14:textId="77777777" w:rsidR="00597D0D" w:rsidRDefault="00597D0D" w:rsidP="00597D0D">
      <w:pPr>
        <w:pStyle w:val="ListParagraph"/>
        <w:numPr>
          <w:ilvl w:val="0"/>
          <w:numId w:val="7"/>
        </w:numPr>
        <w:spacing w:after="0" w:line="240" w:lineRule="auto"/>
        <w:contextualSpacing/>
      </w:pPr>
      <w:r>
        <w:t>What do we know well?  What do we need to know?</w:t>
      </w:r>
    </w:p>
    <w:p w14:paraId="0C1F25E0" w14:textId="77777777" w:rsidR="00597D0D" w:rsidRDefault="00597D0D" w:rsidP="00597D0D">
      <w:pPr>
        <w:pStyle w:val="ListParagraph"/>
        <w:numPr>
          <w:ilvl w:val="0"/>
          <w:numId w:val="7"/>
        </w:numPr>
        <w:spacing w:after="0" w:line="240" w:lineRule="auto"/>
        <w:contextualSpacing/>
      </w:pPr>
      <w:r>
        <w:t>Amendment 1 outlining management alternatives:</w:t>
      </w:r>
      <w:r w:rsidRPr="009E3DEE">
        <w:t xml:space="preserve"> </w:t>
      </w:r>
      <w:r w:rsidRPr="00294F2A">
        <w:t>http://portal.ncdenr.org/c/document_library/get_file?uuid=912b88d1-f297-4eab-8306-fbff2356d345&amp;groupId=38337</w:t>
      </w:r>
    </w:p>
    <w:p w14:paraId="21FCC164" w14:textId="77777777" w:rsidR="00597D0D" w:rsidRDefault="00597D0D" w:rsidP="00597D0D"/>
    <w:p w14:paraId="7893E9F3" w14:textId="77777777" w:rsidR="00597D0D" w:rsidRPr="00B41F4F" w:rsidRDefault="00597D0D" w:rsidP="00597D0D">
      <w:pPr>
        <w:rPr>
          <w:b/>
        </w:rPr>
      </w:pPr>
      <w:r w:rsidRPr="00B41F4F">
        <w:rPr>
          <w:b/>
        </w:rPr>
        <w:t>Conservationists</w:t>
      </w:r>
    </w:p>
    <w:p w14:paraId="5D82FA33" w14:textId="77777777" w:rsidR="00597D0D" w:rsidRDefault="00597D0D" w:rsidP="00597D0D">
      <w:pPr>
        <w:pStyle w:val="ListParagraph"/>
        <w:numPr>
          <w:ilvl w:val="0"/>
          <w:numId w:val="8"/>
        </w:numPr>
        <w:spacing w:after="0" w:line="240" w:lineRule="auto"/>
        <w:contextualSpacing/>
      </w:pPr>
      <w:r>
        <w:t xml:space="preserve">Sea turtle interactions report: </w:t>
      </w:r>
      <w:r w:rsidRPr="00A84FB3">
        <w:t>http://portal.ncdenr.org/c/document_library/get_file?uuid=37f8fc51-05bd-4c2d-99de-d8da24123c7f&amp;groupId=38337</w:t>
      </w:r>
    </w:p>
    <w:p w14:paraId="04C5582A" w14:textId="77777777" w:rsidR="00597D0D" w:rsidRDefault="00597D0D" w:rsidP="00597D0D">
      <w:pPr>
        <w:pStyle w:val="ListParagraph"/>
        <w:numPr>
          <w:ilvl w:val="0"/>
          <w:numId w:val="8"/>
        </w:numPr>
        <w:spacing w:after="0" w:line="240" w:lineRule="auto"/>
        <w:contextualSpacing/>
      </w:pPr>
      <w:r>
        <w:t xml:space="preserve">Sea Turtle Conservancy website: </w:t>
      </w:r>
      <w:r w:rsidRPr="0047213A">
        <w:t>http://www.conserveturtles.org/velador.php?page=velart68</w:t>
      </w:r>
    </w:p>
    <w:p w14:paraId="21D3EA5F" w14:textId="77777777" w:rsidR="00597D0D" w:rsidRDefault="00597D0D" w:rsidP="00597D0D">
      <w:pPr>
        <w:pStyle w:val="ListParagraph"/>
        <w:numPr>
          <w:ilvl w:val="0"/>
          <w:numId w:val="8"/>
        </w:numPr>
        <w:spacing w:after="0" w:line="240" w:lineRule="auto"/>
        <w:contextualSpacing/>
      </w:pPr>
      <w:r>
        <w:t xml:space="preserve">NCDMF summary of sea turtles: </w:t>
      </w:r>
      <w:r w:rsidRPr="0047213A">
        <w:t>http://www.ncfisheries.net/fisheye/2010FishEyeNews/2010_SeaturtlesPastPresentFuture.html</w:t>
      </w:r>
    </w:p>
    <w:p w14:paraId="59D3114E" w14:textId="77777777" w:rsidR="00597D0D" w:rsidRDefault="00597D0D" w:rsidP="00597D0D">
      <w:pPr>
        <w:pStyle w:val="ListParagraph"/>
        <w:numPr>
          <w:ilvl w:val="0"/>
          <w:numId w:val="8"/>
        </w:numPr>
        <w:spacing w:after="0" w:line="240" w:lineRule="auto"/>
        <w:contextualSpacing/>
      </w:pPr>
      <w:r>
        <w:t>How do we put a value on sea turtles?</w:t>
      </w:r>
    </w:p>
    <w:p w14:paraId="114BD287" w14:textId="77777777" w:rsidR="00597D0D" w:rsidRDefault="00597D0D" w:rsidP="00597D0D">
      <w:pPr>
        <w:pStyle w:val="ListParagraph"/>
        <w:numPr>
          <w:ilvl w:val="0"/>
          <w:numId w:val="8"/>
        </w:numPr>
        <w:spacing w:after="0" w:line="240" w:lineRule="auto"/>
        <w:contextualSpacing/>
      </w:pPr>
      <w:r>
        <w:t>What is in the primary literature regarding sea turtle interactions in other fisheries? Do the authors make recommendations?</w:t>
      </w:r>
    </w:p>
    <w:p w14:paraId="24D83BD1" w14:textId="77777777" w:rsidR="00597D0D" w:rsidRDefault="00597D0D" w:rsidP="00597D0D"/>
    <w:p w14:paraId="167B924D" w14:textId="77777777" w:rsidR="00597D0D" w:rsidRPr="009562D3" w:rsidRDefault="00597D0D" w:rsidP="00597D0D">
      <w:pPr>
        <w:rPr>
          <w:b/>
        </w:rPr>
      </w:pPr>
      <w:r w:rsidRPr="009562D3">
        <w:rPr>
          <w:b/>
        </w:rPr>
        <w:t>All</w:t>
      </w:r>
    </w:p>
    <w:p w14:paraId="1DA8517E" w14:textId="77777777" w:rsidR="00597D0D" w:rsidRPr="00B6423D" w:rsidRDefault="00597D0D" w:rsidP="00597D0D">
      <w:pPr>
        <w:pStyle w:val="ListParagraph"/>
        <w:numPr>
          <w:ilvl w:val="0"/>
          <w:numId w:val="9"/>
        </w:numPr>
        <w:spacing w:after="0" w:line="240" w:lineRule="auto"/>
        <w:contextualSpacing/>
      </w:pPr>
      <w:r>
        <w:lastRenderedPageBreak/>
        <w:t>Consider points made in Dr. White’s Fishery Management lecture. What assumptions do fisheries science make when projecting maximum sustainable yield, and how might those assumptions play out in your argument?</w:t>
      </w:r>
    </w:p>
    <w:p w14:paraId="3261DD60" w14:textId="77777777" w:rsidR="00D746DB" w:rsidRDefault="00D746DB"/>
    <w:p w14:paraId="5C7EA04F" w14:textId="7AE781D6" w:rsidR="00D746DB" w:rsidRDefault="00D746DB" w:rsidP="00597D0D">
      <w:r>
        <w:t xml:space="preserve"> </w:t>
      </w:r>
    </w:p>
    <w:p w14:paraId="598A4C54" w14:textId="77777777" w:rsidR="00D746DB" w:rsidRPr="00FE366B" w:rsidRDefault="00D746DB" w:rsidP="00FE366B"/>
    <w:p w14:paraId="299F18B8" w14:textId="77777777" w:rsidR="00D746DB" w:rsidRDefault="00D746DB" w:rsidP="00B54F89"/>
    <w:p w14:paraId="4C9845DC" w14:textId="17A5725F" w:rsidR="001D6C5A" w:rsidRPr="00255B30" w:rsidRDefault="001D6C5A" w:rsidP="00B54F89">
      <w:pPr>
        <w:rPr>
          <w:b/>
        </w:rPr>
      </w:pPr>
      <w:r w:rsidRPr="002B49F7">
        <w:rPr>
          <w:b/>
        </w:rPr>
        <w:t>Post Lab Assignment</w:t>
      </w:r>
    </w:p>
    <w:p w14:paraId="51EC7DA8" w14:textId="54261EF7" w:rsidR="001D6C5A" w:rsidRPr="00B54F89" w:rsidRDefault="001D6C5A" w:rsidP="00B54F89">
      <w:r>
        <w:t xml:space="preserve">Write a summary of your perspective on the debate. </w:t>
      </w:r>
      <w:r w:rsidR="007450D0">
        <w:t>This will take the form of two separate ~250 word sections. First, provide the position of your assigned debate role: how do you view the outcome of the meeting (did you make your points effectively? did you persuade the commission?), and how do you respond to major points raised by the other groups? Second, provide your personal conclusions from the debate. Which arguments have merit, and how should managers proceed?</w:t>
      </w:r>
      <w:r>
        <w:t xml:space="preserve"> </w:t>
      </w:r>
    </w:p>
    <w:p w14:paraId="57841B64" w14:textId="77777777" w:rsidR="00D746DB" w:rsidRPr="00642AB5" w:rsidRDefault="00D746DB" w:rsidP="00B54F89">
      <w:pPr>
        <w:ind w:firstLine="720"/>
      </w:pPr>
    </w:p>
    <w:sectPr w:rsidR="00D746DB" w:rsidRPr="00642AB5" w:rsidSect="00837DC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040FB" w14:textId="77777777" w:rsidR="00713B5D" w:rsidRDefault="00713B5D">
      <w:r>
        <w:separator/>
      </w:r>
    </w:p>
  </w:endnote>
  <w:endnote w:type="continuationSeparator" w:id="0">
    <w:p w14:paraId="75B41089" w14:textId="77777777" w:rsidR="00713B5D" w:rsidRDefault="0071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6437A" w14:textId="77777777" w:rsidR="00713B5D" w:rsidRDefault="00713B5D">
      <w:r>
        <w:separator/>
      </w:r>
    </w:p>
  </w:footnote>
  <w:footnote w:type="continuationSeparator" w:id="0">
    <w:p w14:paraId="3FC7160B" w14:textId="77777777" w:rsidR="00713B5D" w:rsidRDefault="00713B5D">
      <w:r>
        <w:continuationSeparator/>
      </w:r>
    </w:p>
  </w:footnote>
  <w:footnote w:id="1">
    <w:p w14:paraId="5D4B071E" w14:textId="77777777" w:rsidR="00713B5D" w:rsidRDefault="00713B5D" w:rsidP="00597D0D">
      <w:pPr>
        <w:pStyle w:val="FootnoteText"/>
      </w:pPr>
      <w:r>
        <w:rPr>
          <w:rStyle w:val="FootnoteReference"/>
        </w:rPr>
        <w:footnoteRef/>
      </w:r>
      <w:r>
        <w:t xml:space="preserve"> See </w:t>
      </w:r>
      <w:r w:rsidRPr="009F3B9B">
        <w:rPr>
          <w:u w:val="single"/>
        </w:rPr>
        <w:t>The Tragedy of the Commons</w:t>
      </w:r>
      <w:r>
        <w:t xml:space="preserve"> (Hardin 1968): </w:t>
      </w:r>
      <w:r w:rsidRPr="009F3B9B">
        <w:t>http://www.sciencemag.org/content/162/3859/1243.full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4D996" w14:textId="493B1CE6" w:rsidR="00713B5D" w:rsidRDefault="00713B5D" w:rsidP="00626F19">
    <w:pPr>
      <w:pStyle w:val="Header"/>
      <w:spacing w:after="0"/>
    </w:pPr>
    <w:r>
      <w:t>BIO 362 Lab</w:t>
    </w:r>
    <w:r>
      <w:tab/>
      <w:t>Marine Fisheries &amp; Conservation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0921"/>
    <w:multiLevelType w:val="hybridMultilevel"/>
    <w:tmpl w:val="EF6A7A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21601C"/>
    <w:multiLevelType w:val="hybridMultilevel"/>
    <w:tmpl w:val="AEFEC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FEE4CB0"/>
    <w:multiLevelType w:val="hybridMultilevel"/>
    <w:tmpl w:val="980E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D774B"/>
    <w:multiLevelType w:val="hybridMultilevel"/>
    <w:tmpl w:val="F7E82098"/>
    <w:lvl w:ilvl="0" w:tplc="CCFC60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11D4A"/>
    <w:multiLevelType w:val="hybridMultilevel"/>
    <w:tmpl w:val="4E629B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D146A0A"/>
    <w:multiLevelType w:val="hybridMultilevel"/>
    <w:tmpl w:val="8DF0D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2242C9"/>
    <w:multiLevelType w:val="hybridMultilevel"/>
    <w:tmpl w:val="9E20C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330134"/>
    <w:multiLevelType w:val="hybridMultilevel"/>
    <w:tmpl w:val="C8FE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D43B12"/>
    <w:multiLevelType w:val="hybridMultilevel"/>
    <w:tmpl w:val="A74E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F0602E"/>
    <w:multiLevelType w:val="hybridMultilevel"/>
    <w:tmpl w:val="175ED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76963C09"/>
    <w:multiLevelType w:val="hybridMultilevel"/>
    <w:tmpl w:val="EFF0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0"/>
  </w:num>
  <w:num w:numId="4">
    <w:abstractNumId w:val="1"/>
  </w:num>
  <w:num w:numId="5">
    <w:abstractNumId w:val="3"/>
  </w:num>
  <w:num w:numId="6">
    <w:abstractNumId w:val="2"/>
  </w:num>
  <w:num w:numId="7">
    <w:abstractNumId w:val="6"/>
  </w:num>
  <w:num w:numId="8">
    <w:abstractNumId w:val="10"/>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D82"/>
    <w:rsid w:val="00005314"/>
    <w:rsid w:val="00044C65"/>
    <w:rsid w:val="00073368"/>
    <w:rsid w:val="0007427B"/>
    <w:rsid w:val="00086922"/>
    <w:rsid w:val="000C2982"/>
    <w:rsid w:val="000F7D96"/>
    <w:rsid w:val="00110055"/>
    <w:rsid w:val="00171B51"/>
    <w:rsid w:val="00172DFD"/>
    <w:rsid w:val="001819BE"/>
    <w:rsid w:val="001A4F49"/>
    <w:rsid w:val="001A50F4"/>
    <w:rsid w:val="001A5704"/>
    <w:rsid w:val="001A7A9F"/>
    <w:rsid w:val="001B6B14"/>
    <w:rsid w:val="001D6C5A"/>
    <w:rsid w:val="001F5E54"/>
    <w:rsid w:val="001F6474"/>
    <w:rsid w:val="00206228"/>
    <w:rsid w:val="002176DB"/>
    <w:rsid w:val="00223443"/>
    <w:rsid w:val="00255B30"/>
    <w:rsid w:val="00256386"/>
    <w:rsid w:val="002A2912"/>
    <w:rsid w:val="002B49F7"/>
    <w:rsid w:val="002D42ED"/>
    <w:rsid w:val="00314A4E"/>
    <w:rsid w:val="00331FB1"/>
    <w:rsid w:val="00332079"/>
    <w:rsid w:val="0034688A"/>
    <w:rsid w:val="00346C42"/>
    <w:rsid w:val="00350C36"/>
    <w:rsid w:val="003530A1"/>
    <w:rsid w:val="0038045B"/>
    <w:rsid w:val="0038075D"/>
    <w:rsid w:val="00393535"/>
    <w:rsid w:val="003B0A51"/>
    <w:rsid w:val="003B7DCD"/>
    <w:rsid w:val="00425A67"/>
    <w:rsid w:val="0043145A"/>
    <w:rsid w:val="00433D4D"/>
    <w:rsid w:val="00455E13"/>
    <w:rsid w:val="0046067A"/>
    <w:rsid w:val="0046592A"/>
    <w:rsid w:val="004A2B10"/>
    <w:rsid w:val="004A75F5"/>
    <w:rsid w:val="004B0E2C"/>
    <w:rsid w:val="004B600D"/>
    <w:rsid w:val="004B6907"/>
    <w:rsid w:val="004D1D06"/>
    <w:rsid w:val="004D6E52"/>
    <w:rsid w:val="005124B7"/>
    <w:rsid w:val="00524529"/>
    <w:rsid w:val="00526E68"/>
    <w:rsid w:val="0054193B"/>
    <w:rsid w:val="00555323"/>
    <w:rsid w:val="00563517"/>
    <w:rsid w:val="00563F85"/>
    <w:rsid w:val="00582B8D"/>
    <w:rsid w:val="00583213"/>
    <w:rsid w:val="00597D0D"/>
    <w:rsid w:val="005D212C"/>
    <w:rsid w:val="005F054F"/>
    <w:rsid w:val="005F6DDF"/>
    <w:rsid w:val="006027FE"/>
    <w:rsid w:val="00615607"/>
    <w:rsid w:val="00626F19"/>
    <w:rsid w:val="00642AB5"/>
    <w:rsid w:val="00643AB3"/>
    <w:rsid w:val="006815D3"/>
    <w:rsid w:val="006B57D0"/>
    <w:rsid w:val="006D0266"/>
    <w:rsid w:val="00713B5D"/>
    <w:rsid w:val="0073494D"/>
    <w:rsid w:val="007450D0"/>
    <w:rsid w:val="007904E1"/>
    <w:rsid w:val="00790FDE"/>
    <w:rsid w:val="007A1A13"/>
    <w:rsid w:val="007A3BE9"/>
    <w:rsid w:val="007D6916"/>
    <w:rsid w:val="007F12D7"/>
    <w:rsid w:val="00837DC4"/>
    <w:rsid w:val="00843449"/>
    <w:rsid w:val="00851016"/>
    <w:rsid w:val="00865812"/>
    <w:rsid w:val="00877CBB"/>
    <w:rsid w:val="00896D03"/>
    <w:rsid w:val="00897F2E"/>
    <w:rsid w:val="008D1699"/>
    <w:rsid w:val="00922403"/>
    <w:rsid w:val="00932CB1"/>
    <w:rsid w:val="00940717"/>
    <w:rsid w:val="00972D68"/>
    <w:rsid w:val="00975482"/>
    <w:rsid w:val="00982809"/>
    <w:rsid w:val="009915BF"/>
    <w:rsid w:val="009951C2"/>
    <w:rsid w:val="009A3D29"/>
    <w:rsid w:val="009F3881"/>
    <w:rsid w:val="00A133DC"/>
    <w:rsid w:val="00A25AF9"/>
    <w:rsid w:val="00A44486"/>
    <w:rsid w:val="00A676D4"/>
    <w:rsid w:val="00A765CF"/>
    <w:rsid w:val="00AB0133"/>
    <w:rsid w:val="00AD0A3C"/>
    <w:rsid w:val="00AE5305"/>
    <w:rsid w:val="00AE7D32"/>
    <w:rsid w:val="00AF3F68"/>
    <w:rsid w:val="00B54F89"/>
    <w:rsid w:val="00B7101F"/>
    <w:rsid w:val="00B76B0C"/>
    <w:rsid w:val="00BB01D0"/>
    <w:rsid w:val="00BD5FBD"/>
    <w:rsid w:val="00BF30EF"/>
    <w:rsid w:val="00C22398"/>
    <w:rsid w:val="00C75DB4"/>
    <w:rsid w:val="00CD1885"/>
    <w:rsid w:val="00CE70D5"/>
    <w:rsid w:val="00CF02FF"/>
    <w:rsid w:val="00CF6362"/>
    <w:rsid w:val="00D03398"/>
    <w:rsid w:val="00D262B2"/>
    <w:rsid w:val="00D666D6"/>
    <w:rsid w:val="00D746DB"/>
    <w:rsid w:val="00D80CC9"/>
    <w:rsid w:val="00D87E9E"/>
    <w:rsid w:val="00D92AD4"/>
    <w:rsid w:val="00DD6649"/>
    <w:rsid w:val="00E14125"/>
    <w:rsid w:val="00E23402"/>
    <w:rsid w:val="00E47D82"/>
    <w:rsid w:val="00E56DF2"/>
    <w:rsid w:val="00E6180C"/>
    <w:rsid w:val="00E87A71"/>
    <w:rsid w:val="00EA6C22"/>
    <w:rsid w:val="00EA7366"/>
    <w:rsid w:val="00EB6A81"/>
    <w:rsid w:val="00ED1527"/>
    <w:rsid w:val="00ED4353"/>
    <w:rsid w:val="00ED52F2"/>
    <w:rsid w:val="00EF0E69"/>
    <w:rsid w:val="00F05090"/>
    <w:rsid w:val="00F3545A"/>
    <w:rsid w:val="00F749A6"/>
    <w:rsid w:val="00F84AAE"/>
    <w:rsid w:val="00FA0513"/>
    <w:rsid w:val="00FB1463"/>
    <w:rsid w:val="00FB1D6C"/>
    <w:rsid w:val="00FB6D58"/>
    <w:rsid w:val="00FB7A05"/>
    <w:rsid w:val="00FD2A89"/>
    <w:rsid w:val="00FE366B"/>
    <w:rsid w:val="00FF5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6F5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DC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DCD"/>
    <w:pPr>
      <w:ind w:left="720"/>
    </w:pPr>
  </w:style>
  <w:style w:type="paragraph" w:styleId="Header">
    <w:name w:val="header"/>
    <w:basedOn w:val="Normal"/>
    <w:link w:val="HeaderChar"/>
    <w:uiPriority w:val="99"/>
    <w:rsid w:val="00626F19"/>
    <w:pPr>
      <w:tabs>
        <w:tab w:val="center" w:pos="4320"/>
        <w:tab w:val="right" w:pos="8640"/>
      </w:tabs>
    </w:pPr>
  </w:style>
  <w:style w:type="character" w:customStyle="1" w:styleId="HeaderChar">
    <w:name w:val="Header Char"/>
    <w:basedOn w:val="DefaultParagraphFont"/>
    <w:link w:val="Header"/>
    <w:uiPriority w:val="99"/>
    <w:semiHidden/>
    <w:rsid w:val="00BE3353"/>
    <w:rPr>
      <w:rFonts w:cs="Calibri"/>
    </w:rPr>
  </w:style>
  <w:style w:type="paragraph" w:styleId="Footer">
    <w:name w:val="footer"/>
    <w:basedOn w:val="Normal"/>
    <w:link w:val="FooterChar"/>
    <w:uiPriority w:val="99"/>
    <w:rsid w:val="00626F19"/>
    <w:pPr>
      <w:tabs>
        <w:tab w:val="center" w:pos="4320"/>
        <w:tab w:val="right" w:pos="8640"/>
      </w:tabs>
    </w:pPr>
  </w:style>
  <w:style w:type="character" w:customStyle="1" w:styleId="FooterChar">
    <w:name w:val="Footer Char"/>
    <w:basedOn w:val="DefaultParagraphFont"/>
    <w:link w:val="Footer"/>
    <w:uiPriority w:val="99"/>
    <w:semiHidden/>
    <w:rsid w:val="00BE3353"/>
    <w:rPr>
      <w:rFonts w:cs="Calibri"/>
    </w:rPr>
  </w:style>
  <w:style w:type="paragraph" w:styleId="BalloonText">
    <w:name w:val="Balloon Text"/>
    <w:basedOn w:val="Normal"/>
    <w:link w:val="BalloonTextChar"/>
    <w:uiPriority w:val="99"/>
    <w:semiHidden/>
    <w:unhideWhenUsed/>
    <w:rsid w:val="00171B5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1B51"/>
    <w:rPr>
      <w:rFonts w:ascii="Lucida Grande" w:hAnsi="Lucida Grande" w:cs="Lucida Grande"/>
      <w:sz w:val="18"/>
      <w:szCs w:val="18"/>
    </w:rPr>
  </w:style>
  <w:style w:type="paragraph" w:styleId="FootnoteText">
    <w:name w:val="footnote text"/>
    <w:basedOn w:val="Normal"/>
    <w:link w:val="FootnoteTextChar"/>
    <w:uiPriority w:val="99"/>
    <w:unhideWhenUsed/>
    <w:rsid w:val="00597D0D"/>
    <w:pPr>
      <w:spacing w:after="0" w:line="240" w:lineRule="auto"/>
    </w:pPr>
    <w:rPr>
      <w:rFonts w:ascii="Times New Roman" w:eastAsiaTheme="minorHAnsi" w:hAnsi="Times New Roman" w:cstheme="minorBidi"/>
      <w:sz w:val="24"/>
      <w:szCs w:val="24"/>
    </w:rPr>
  </w:style>
  <w:style w:type="character" w:customStyle="1" w:styleId="FootnoteTextChar">
    <w:name w:val="Footnote Text Char"/>
    <w:basedOn w:val="DefaultParagraphFont"/>
    <w:link w:val="FootnoteText"/>
    <w:uiPriority w:val="99"/>
    <w:rsid w:val="00597D0D"/>
    <w:rPr>
      <w:rFonts w:ascii="Times New Roman" w:eastAsiaTheme="minorHAnsi" w:hAnsi="Times New Roman" w:cstheme="minorBidi"/>
      <w:sz w:val="24"/>
      <w:szCs w:val="24"/>
    </w:rPr>
  </w:style>
  <w:style w:type="character" w:styleId="FootnoteReference">
    <w:name w:val="footnote reference"/>
    <w:basedOn w:val="DefaultParagraphFont"/>
    <w:uiPriority w:val="99"/>
    <w:semiHidden/>
    <w:unhideWhenUsed/>
    <w:rsid w:val="00597D0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DC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DCD"/>
    <w:pPr>
      <w:ind w:left="720"/>
    </w:pPr>
  </w:style>
  <w:style w:type="paragraph" w:styleId="Header">
    <w:name w:val="header"/>
    <w:basedOn w:val="Normal"/>
    <w:link w:val="HeaderChar"/>
    <w:uiPriority w:val="99"/>
    <w:rsid w:val="00626F19"/>
    <w:pPr>
      <w:tabs>
        <w:tab w:val="center" w:pos="4320"/>
        <w:tab w:val="right" w:pos="8640"/>
      </w:tabs>
    </w:pPr>
  </w:style>
  <w:style w:type="character" w:customStyle="1" w:styleId="HeaderChar">
    <w:name w:val="Header Char"/>
    <w:basedOn w:val="DefaultParagraphFont"/>
    <w:link w:val="Header"/>
    <w:uiPriority w:val="99"/>
    <w:semiHidden/>
    <w:rsid w:val="00BE3353"/>
    <w:rPr>
      <w:rFonts w:cs="Calibri"/>
    </w:rPr>
  </w:style>
  <w:style w:type="paragraph" w:styleId="Footer">
    <w:name w:val="footer"/>
    <w:basedOn w:val="Normal"/>
    <w:link w:val="FooterChar"/>
    <w:uiPriority w:val="99"/>
    <w:rsid w:val="00626F19"/>
    <w:pPr>
      <w:tabs>
        <w:tab w:val="center" w:pos="4320"/>
        <w:tab w:val="right" w:pos="8640"/>
      </w:tabs>
    </w:pPr>
  </w:style>
  <w:style w:type="character" w:customStyle="1" w:styleId="FooterChar">
    <w:name w:val="Footer Char"/>
    <w:basedOn w:val="DefaultParagraphFont"/>
    <w:link w:val="Footer"/>
    <w:uiPriority w:val="99"/>
    <w:semiHidden/>
    <w:rsid w:val="00BE3353"/>
    <w:rPr>
      <w:rFonts w:cs="Calibri"/>
    </w:rPr>
  </w:style>
  <w:style w:type="paragraph" w:styleId="BalloonText">
    <w:name w:val="Balloon Text"/>
    <w:basedOn w:val="Normal"/>
    <w:link w:val="BalloonTextChar"/>
    <w:uiPriority w:val="99"/>
    <w:semiHidden/>
    <w:unhideWhenUsed/>
    <w:rsid w:val="00171B5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1B51"/>
    <w:rPr>
      <w:rFonts w:ascii="Lucida Grande" w:hAnsi="Lucida Grande" w:cs="Lucida Grande"/>
      <w:sz w:val="18"/>
      <w:szCs w:val="18"/>
    </w:rPr>
  </w:style>
  <w:style w:type="paragraph" w:styleId="FootnoteText">
    <w:name w:val="footnote text"/>
    <w:basedOn w:val="Normal"/>
    <w:link w:val="FootnoteTextChar"/>
    <w:uiPriority w:val="99"/>
    <w:unhideWhenUsed/>
    <w:rsid w:val="00597D0D"/>
    <w:pPr>
      <w:spacing w:after="0" w:line="240" w:lineRule="auto"/>
    </w:pPr>
    <w:rPr>
      <w:rFonts w:ascii="Times New Roman" w:eastAsiaTheme="minorHAnsi" w:hAnsi="Times New Roman" w:cstheme="minorBidi"/>
      <w:sz w:val="24"/>
      <w:szCs w:val="24"/>
    </w:rPr>
  </w:style>
  <w:style w:type="character" w:customStyle="1" w:styleId="FootnoteTextChar">
    <w:name w:val="Footnote Text Char"/>
    <w:basedOn w:val="DefaultParagraphFont"/>
    <w:link w:val="FootnoteText"/>
    <w:uiPriority w:val="99"/>
    <w:rsid w:val="00597D0D"/>
    <w:rPr>
      <w:rFonts w:ascii="Times New Roman" w:eastAsiaTheme="minorHAnsi" w:hAnsi="Times New Roman" w:cstheme="minorBidi"/>
      <w:sz w:val="24"/>
      <w:szCs w:val="24"/>
    </w:rPr>
  </w:style>
  <w:style w:type="character" w:styleId="FootnoteReference">
    <w:name w:val="footnote reference"/>
    <w:basedOn w:val="DefaultParagraphFont"/>
    <w:uiPriority w:val="99"/>
    <w:semiHidden/>
    <w:unhideWhenUsed/>
    <w:rsid w:val="00597D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8</Pages>
  <Words>2775</Words>
  <Characters>15818</Characters>
  <Application>Microsoft Macintosh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UNCW</Company>
  <LinksUpToDate>false</LinksUpToDate>
  <CharactersWithSpaces>18556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finellic</dc:creator>
  <cp:lastModifiedBy>Will White</cp:lastModifiedBy>
  <cp:revision>50</cp:revision>
  <dcterms:created xsi:type="dcterms:W3CDTF">2017-03-24T09:58:00Z</dcterms:created>
  <dcterms:modified xsi:type="dcterms:W3CDTF">2017-03-27T03:26:00Z</dcterms:modified>
</cp:coreProperties>
</file>